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1CB6C805">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1726685F" w:rsidR="00333FAA" w:rsidRPr="005E3A10" w:rsidRDefault="5829CFC1" w:rsidP="1CB6C805">
            <w:pPr>
              <w:pStyle w:val="Heading1"/>
              <w:spacing w:line="259" w:lineRule="auto"/>
            </w:pPr>
            <w:r>
              <w:t>Cabine</w:t>
            </w:r>
            <w:r w:rsidR="0B29514D">
              <w:t>t</w:t>
            </w:r>
          </w:p>
        </w:tc>
      </w:tr>
      <w:tr w:rsidR="00333FAA" w14:paraId="67D60646" w14:textId="77777777" w:rsidTr="1CB6C805">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9B59B57" w:rsidR="00333FAA" w:rsidRPr="005E3A10" w:rsidRDefault="006378AC" w:rsidP="00A53B04">
            <w:pPr>
              <w:rPr>
                <w:rFonts w:cs="Arial"/>
                <w:szCs w:val="24"/>
              </w:rPr>
            </w:pPr>
            <w:r>
              <w:rPr>
                <w:rFonts w:cs="Arial"/>
                <w:szCs w:val="24"/>
              </w:rPr>
              <w:t>15 February 2024</w:t>
            </w:r>
          </w:p>
        </w:tc>
      </w:tr>
      <w:tr w:rsidR="00333FAA" w14:paraId="3CC97725" w14:textId="77777777" w:rsidTr="1CB6C805">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1FF182A3" w:rsidR="00333FAA" w:rsidRPr="005E3A10" w:rsidRDefault="006378AC" w:rsidP="00A53B04">
            <w:pPr>
              <w:rPr>
                <w:rFonts w:cs="Arial"/>
                <w:szCs w:val="24"/>
              </w:rPr>
            </w:pPr>
            <w:r>
              <w:rPr>
                <w:rFonts w:cs="Arial"/>
                <w:szCs w:val="24"/>
              </w:rPr>
              <w:t xml:space="preserve">Procurement of </w:t>
            </w:r>
            <w:r w:rsidR="00644A03">
              <w:rPr>
                <w:rFonts w:cs="Arial"/>
                <w:szCs w:val="24"/>
              </w:rPr>
              <w:t>Payroll System</w:t>
            </w:r>
          </w:p>
        </w:tc>
      </w:tr>
      <w:tr w:rsidR="00333FAA" w14:paraId="32449166" w14:textId="77777777" w:rsidTr="1CB6C805">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0F2D6FE6" w:rsidR="001C7E35" w:rsidRPr="005E3A10" w:rsidRDefault="001C7E35" w:rsidP="001C7E35">
            <w:pPr>
              <w:pStyle w:val="Infotext"/>
              <w:rPr>
                <w:rFonts w:cs="Arial"/>
                <w:sz w:val="24"/>
                <w:szCs w:val="24"/>
              </w:rPr>
            </w:pPr>
            <w:r w:rsidRPr="005E3A10">
              <w:rPr>
                <w:rFonts w:cs="Arial"/>
                <w:sz w:val="24"/>
                <w:szCs w:val="24"/>
              </w:rPr>
              <w:t xml:space="preserve">Yes </w:t>
            </w:r>
          </w:p>
          <w:p w14:paraId="42C4EE4E" w14:textId="77777777" w:rsidR="00644A03" w:rsidRDefault="00644A03" w:rsidP="001C7E35">
            <w:pPr>
              <w:pStyle w:val="Infotext"/>
              <w:rPr>
                <w:rFonts w:cs="Arial"/>
                <w:color w:val="FF0000"/>
                <w:sz w:val="24"/>
                <w:szCs w:val="24"/>
              </w:rPr>
            </w:pPr>
          </w:p>
          <w:p w14:paraId="3EADF2B3" w14:textId="77777777" w:rsidR="00333FAA" w:rsidRPr="005E3A10" w:rsidRDefault="00333FAA" w:rsidP="00C5722C">
            <w:pPr>
              <w:rPr>
                <w:rFonts w:cs="Arial"/>
                <w:szCs w:val="24"/>
              </w:rPr>
            </w:pPr>
          </w:p>
        </w:tc>
      </w:tr>
      <w:tr w:rsidR="001C7E35" w14:paraId="79E96200" w14:textId="77777777" w:rsidTr="1CB6C805">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6B614733" w:rsidR="001C7E35" w:rsidRPr="005E3A10" w:rsidRDefault="00585033" w:rsidP="00D835CF">
            <w:pPr>
              <w:pStyle w:val="Infotext"/>
              <w:rPr>
                <w:rFonts w:cs="Arial"/>
                <w:sz w:val="24"/>
                <w:szCs w:val="24"/>
              </w:rPr>
            </w:pPr>
            <w:r>
              <w:rPr>
                <w:rFonts w:cs="Arial"/>
                <w:sz w:val="24"/>
                <w:szCs w:val="24"/>
              </w:rPr>
              <w:t>Alex Dewsnap, Managing Director</w:t>
            </w:r>
            <w:r w:rsidR="00E939E3">
              <w:rPr>
                <w:rFonts w:cs="Arial"/>
                <w:sz w:val="24"/>
                <w:szCs w:val="24"/>
              </w:rPr>
              <w:t xml:space="preserve"> and Head of Paid Service</w:t>
            </w:r>
          </w:p>
          <w:p w14:paraId="3798BF23" w14:textId="77777777" w:rsidR="001C7E35" w:rsidRPr="005E3A10" w:rsidRDefault="001C7E35" w:rsidP="00D835CF">
            <w:pPr>
              <w:pStyle w:val="Infotext"/>
              <w:rPr>
                <w:rFonts w:cs="Arial"/>
                <w:sz w:val="24"/>
                <w:szCs w:val="24"/>
              </w:rPr>
            </w:pPr>
          </w:p>
        </w:tc>
      </w:tr>
      <w:tr w:rsidR="001C7E35" w14:paraId="3B6FD8B1" w14:textId="77777777" w:rsidTr="1CB6C805">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77D3E3E" w14:textId="77777777" w:rsidR="00774E20" w:rsidRDefault="00774E20" w:rsidP="00774E20">
            <w:pPr>
              <w:rPr>
                <w:rFonts w:cs="Arial"/>
              </w:rPr>
            </w:pPr>
            <w:r>
              <w:rPr>
                <w:rFonts w:cs="Arial"/>
              </w:rPr>
              <w:t xml:space="preserve">Cllr Stephen Greek, </w:t>
            </w:r>
            <w:r w:rsidRPr="002B2E73">
              <w:rPr>
                <w:rFonts w:cs="Arial"/>
              </w:rPr>
              <w:t>Cabinet Member for Performance, Communications &amp; Customer Experience</w:t>
            </w:r>
          </w:p>
          <w:p w14:paraId="0AC986C6" w14:textId="77777777" w:rsidR="00774E20" w:rsidRPr="00D85683" w:rsidRDefault="00774E20" w:rsidP="00774E20">
            <w:pPr>
              <w:pStyle w:val="Infotext"/>
              <w:rPr>
                <w:rFonts w:cs="Arial"/>
                <w:sz w:val="24"/>
                <w:szCs w:val="24"/>
              </w:rPr>
            </w:pPr>
            <w:r w:rsidRPr="00A30B49">
              <w:rPr>
                <w:rFonts w:cs="Arial"/>
                <w:sz w:val="24"/>
                <w:szCs w:val="24"/>
              </w:rPr>
              <w:t>Cllr David Ashton, Cabinet Member for Finance and Human Resources</w:t>
            </w:r>
          </w:p>
          <w:p w14:paraId="39A9A01A" w14:textId="4BCD8BE9" w:rsidR="001C7E35" w:rsidRPr="005E3A10" w:rsidRDefault="001C7E35" w:rsidP="00D835CF">
            <w:pPr>
              <w:pStyle w:val="Infotext"/>
              <w:rPr>
                <w:rFonts w:cs="Arial"/>
                <w:color w:val="FF0000"/>
                <w:sz w:val="24"/>
                <w:szCs w:val="24"/>
              </w:rPr>
            </w:pPr>
          </w:p>
        </w:tc>
      </w:tr>
      <w:tr w:rsidR="001C7E35" w14:paraId="3CF618C8" w14:textId="77777777" w:rsidTr="1CB6C805">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6A24D4B5" w14:textId="77777777" w:rsidR="004A5200" w:rsidRPr="00870293" w:rsidRDefault="004A5200" w:rsidP="004A5200">
            <w:pPr>
              <w:pStyle w:val="Infotext"/>
              <w:rPr>
                <w:rFonts w:cs="Arial"/>
                <w:sz w:val="24"/>
                <w:szCs w:val="24"/>
              </w:rPr>
            </w:pPr>
            <w:r w:rsidRPr="005E3A10">
              <w:rPr>
                <w:rFonts w:cs="Arial"/>
                <w:sz w:val="24"/>
                <w:szCs w:val="24"/>
              </w:rPr>
              <w:t>No</w:t>
            </w:r>
            <w:r>
              <w:rPr>
                <w:rFonts w:cs="Arial"/>
                <w:sz w:val="24"/>
                <w:szCs w:val="24"/>
              </w:rPr>
              <w:t xml:space="preserve">, except for Appendix 2 which is exempt pursuant to </w:t>
            </w:r>
            <w:r w:rsidRPr="00A30B49">
              <w:rPr>
                <w:rFonts w:eastAsia="Arial" w:cs="Arial"/>
                <w:sz w:val="24"/>
                <w:szCs w:val="24"/>
              </w:rPr>
              <w:t>paragraph 3 of Schedule 12A to the Local Government Act 1972 on the grounds that it contains information relating to the financial and business affairs of the council and 3</w:t>
            </w:r>
            <w:r w:rsidRPr="00A30B49">
              <w:rPr>
                <w:rFonts w:eastAsia="Arial" w:cs="Arial"/>
                <w:sz w:val="24"/>
                <w:szCs w:val="24"/>
                <w:vertAlign w:val="superscript"/>
              </w:rPr>
              <w:t>rd</w:t>
            </w:r>
            <w:r w:rsidRPr="00A30B49">
              <w:rPr>
                <w:rFonts w:eastAsia="Arial" w:cs="Arial"/>
                <w:sz w:val="24"/>
                <w:szCs w:val="24"/>
              </w:rPr>
              <w:t xml:space="preserve"> party suppliers</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1CB6C805">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6151BA21"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4A5200">
            <w:pPr>
              <w:rPr>
                <w:rFonts w:cs="Arial"/>
                <w:szCs w:val="24"/>
              </w:rPr>
            </w:pPr>
          </w:p>
        </w:tc>
      </w:tr>
      <w:tr w:rsidR="001C7E35" w14:paraId="7E5497E1" w14:textId="77777777" w:rsidTr="1CB6C805">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71269952" w:rsidR="001C7E35" w:rsidRDefault="004A5200" w:rsidP="00D835CF">
            <w:pPr>
              <w:rPr>
                <w:rFonts w:cs="Arial"/>
                <w:szCs w:val="24"/>
              </w:rPr>
            </w:pPr>
            <w:r>
              <w:rPr>
                <w:rFonts w:cs="Arial"/>
                <w:szCs w:val="24"/>
              </w:rPr>
              <w:t>All</w:t>
            </w:r>
          </w:p>
          <w:p w14:paraId="52E38AE7" w14:textId="70D4C391" w:rsidR="00307F76" w:rsidRPr="00307F76" w:rsidRDefault="00307F76" w:rsidP="00D835CF">
            <w:pPr>
              <w:rPr>
                <w:rFonts w:cs="Arial"/>
                <w:b/>
                <w:color w:val="FF0000"/>
                <w:szCs w:val="24"/>
              </w:rPr>
            </w:pPr>
          </w:p>
        </w:tc>
      </w:tr>
      <w:tr w:rsidR="001C7E35" w14:paraId="5F1445BF" w14:textId="77777777" w:rsidTr="1CB6C805">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C1D6DE4" w14:textId="77777777" w:rsidR="0097757A" w:rsidRDefault="0097757A" w:rsidP="0097757A">
            <w:pPr>
              <w:pStyle w:val="Infotext"/>
              <w:rPr>
                <w:rFonts w:cs="Arial"/>
                <w:sz w:val="24"/>
                <w:szCs w:val="24"/>
              </w:rPr>
            </w:pPr>
            <w:r>
              <w:rPr>
                <w:rFonts w:cs="Arial"/>
                <w:sz w:val="24"/>
                <w:szCs w:val="24"/>
              </w:rPr>
              <w:t>Appendix 1 – Evaluation Report (anonymised)</w:t>
            </w:r>
          </w:p>
          <w:p w14:paraId="600D84B7" w14:textId="77777777" w:rsidR="0097757A" w:rsidRDefault="0097757A" w:rsidP="0097757A">
            <w:pPr>
              <w:pStyle w:val="Infotext"/>
              <w:rPr>
                <w:rFonts w:cs="Arial"/>
                <w:sz w:val="24"/>
                <w:szCs w:val="24"/>
              </w:rPr>
            </w:pPr>
          </w:p>
          <w:p w14:paraId="6668D730" w14:textId="01A945DD" w:rsidR="001C7E35" w:rsidRPr="005E3A10" w:rsidRDefault="0097757A" w:rsidP="0097757A">
            <w:pPr>
              <w:pStyle w:val="Infotext"/>
              <w:rPr>
                <w:color w:val="FF0000"/>
                <w:sz w:val="24"/>
                <w:szCs w:val="24"/>
              </w:rPr>
            </w:pPr>
            <w:r>
              <w:rPr>
                <w:rFonts w:cs="Arial"/>
                <w:sz w:val="24"/>
                <w:szCs w:val="24"/>
              </w:rPr>
              <w:t>Exempt Appendix 2 – Evaluation Report with supplier details and pricing submissions</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0985099E" w14:textId="1437835A" w:rsidR="00EC0913" w:rsidRDefault="00EC0913" w:rsidP="00EC0913">
            <w:pPr>
              <w:rPr>
                <w:color w:val="0000FF"/>
              </w:rPr>
            </w:pPr>
            <w:r>
              <w:t xml:space="preserve">This report sets out the procurement undertaken to select a preferred </w:t>
            </w:r>
            <w:r w:rsidR="00324D77">
              <w:t>payroll system provider to integrate with the</w:t>
            </w:r>
            <w:r>
              <w:t xml:space="preserve"> </w:t>
            </w:r>
            <w:r w:rsidR="00324D77">
              <w:t xml:space="preserve">wider </w:t>
            </w:r>
            <w:r>
              <w:t xml:space="preserve">Microsoft Dynamics </w:t>
            </w:r>
            <w:r w:rsidR="00324D77">
              <w:t xml:space="preserve">HR &amp; Finance </w:t>
            </w:r>
            <w:r w:rsidR="002D0D61">
              <w:t>Application</w:t>
            </w:r>
          </w:p>
          <w:p w14:paraId="4FCE9CF5" w14:textId="77777777" w:rsidR="00EC0913" w:rsidRPr="00605A4C" w:rsidRDefault="00EC0913" w:rsidP="00EC0913">
            <w:pPr>
              <w:pStyle w:val="Heading3"/>
              <w:spacing w:before="240"/>
            </w:pPr>
            <w:r>
              <w:t>Recommen</w:t>
            </w:r>
            <w:r w:rsidRPr="00605A4C">
              <w:t xml:space="preserve">dations: </w:t>
            </w:r>
          </w:p>
          <w:p w14:paraId="44684370" w14:textId="77777777" w:rsidR="00EC0913" w:rsidRDefault="00EC0913" w:rsidP="00EC0913">
            <w:bookmarkStart w:id="0" w:name="_Hlk131435190"/>
            <w:r>
              <w:t>Cabinet is requested to:</w:t>
            </w:r>
          </w:p>
          <w:p w14:paraId="6EEFF0C2" w14:textId="77777777" w:rsidR="00EC0913" w:rsidRDefault="00EC0913" w:rsidP="00EC0913"/>
          <w:p w14:paraId="05F430DA" w14:textId="338F96D5" w:rsidR="00EC0913" w:rsidRDefault="00EC0913" w:rsidP="00EC0913">
            <w:r>
              <w:t xml:space="preserve">Approve the award of a contract to the recommended provider named in Appendix 2 for </w:t>
            </w:r>
            <w:r w:rsidR="002D0D61">
              <w:t xml:space="preserve">Payroll System </w:t>
            </w:r>
            <w:r>
              <w:t xml:space="preserve">for a period of up to 3 years, with an option to extend for a period of up to 1 year with effect from </w:t>
            </w:r>
            <w:r w:rsidR="002D0D61">
              <w:t xml:space="preserve">April </w:t>
            </w:r>
            <w:r>
              <w:t>202</w:t>
            </w:r>
            <w:r w:rsidR="002D0D61">
              <w:t>4</w:t>
            </w:r>
            <w:r>
              <w:t>.</w:t>
            </w:r>
          </w:p>
          <w:bookmarkEnd w:id="0"/>
          <w:p w14:paraId="0402BDBE" w14:textId="77777777" w:rsidR="00EC0913" w:rsidRDefault="00EC0913" w:rsidP="00EC0913"/>
          <w:p w14:paraId="7835CB61" w14:textId="451280A7" w:rsidR="00EC0913" w:rsidRPr="00F06E4E" w:rsidRDefault="00EC0913" w:rsidP="00EC0913">
            <w:pPr>
              <w:pStyle w:val="Heading3"/>
              <w:ind w:left="0" w:firstLine="0"/>
              <w:jc w:val="left"/>
              <w:rPr>
                <w:color w:val="FF0000"/>
              </w:rPr>
            </w:pPr>
            <w:r>
              <w:t>Reason: (f</w:t>
            </w:r>
            <w:r w:rsidRPr="00605A4C">
              <w:t>or recommendations)</w:t>
            </w:r>
            <w:r>
              <w:t xml:space="preserve">  </w:t>
            </w:r>
            <w:r w:rsidRPr="00A30B49">
              <w:rPr>
                <w:b w:val="0"/>
                <w:bCs w:val="0"/>
                <w:sz w:val="24"/>
                <w:szCs w:val="24"/>
              </w:rPr>
              <w:t xml:space="preserve">To ensure continued </w:t>
            </w:r>
            <w:r w:rsidR="002D0D61">
              <w:rPr>
                <w:b w:val="0"/>
                <w:bCs w:val="0"/>
                <w:sz w:val="24"/>
                <w:szCs w:val="24"/>
              </w:rPr>
              <w:t>ability to deliver a payroll service to Council staff and pensioners</w:t>
            </w:r>
            <w:r w:rsidRPr="00A30B49">
              <w:rPr>
                <w:b w:val="0"/>
                <w:bCs w:val="0"/>
                <w:sz w:val="24"/>
                <w:szCs w:val="24"/>
              </w:rPr>
              <w:t>.</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1D8A2CA4" w14:textId="4561BE67" w:rsidR="00B03F17" w:rsidRDefault="000233D9" w:rsidP="001C7E35">
      <w:bookmarkStart w:id="1" w:name="_Hlk156976783"/>
      <w:r>
        <w:t xml:space="preserve">The Council’s existing payroll </w:t>
      </w:r>
      <w:r w:rsidR="004F621A">
        <w:t xml:space="preserve">system </w:t>
      </w:r>
      <w:r>
        <w:t xml:space="preserve">provider, </w:t>
      </w:r>
      <w:r w:rsidR="0022395A">
        <w:t>Loki</w:t>
      </w:r>
      <w:r w:rsidR="00CC0C34">
        <w:t xml:space="preserve"> </w:t>
      </w:r>
      <w:r w:rsidR="002917FC">
        <w:t>Systems</w:t>
      </w:r>
      <w:r>
        <w:t>, is ceasing UK operations in December 2024</w:t>
      </w:r>
      <w:r w:rsidR="002917FC">
        <w:t xml:space="preserve"> and</w:t>
      </w:r>
      <w:r w:rsidR="004F621A">
        <w:t xml:space="preserve"> a replacement is required.  </w:t>
      </w:r>
      <w:r w:rsidR="003B15FB">
        <w:t>In considering this replacement, a wider review of the Council’s HR and Payroll systems roadmap was undertaken.</w:t>
      </w:r>
    </w:p>
    <w:p w14:paraId="0AD9A235" w14:textId="77777777" w:rsidR="00B03F17" w:rsidRDefault="00B03F17" w:rsidP="001C7E35"/>
    <w:p w14:paraId="5A36F951" w14:textId="136A335E" w:rsidR="001C7E35" w:rsidRDefault="00E46FE9" w:rsidP="001C7E35">
      <w:r>
        <w:t xml:space="preserve">This report covers </w:t>
      </w:r>
      <w:r w:rsidR="003B15FB">
        <w:t xml:space="preserve">the </w:t>
      </w:r>
      <w:r>
        <w:t xml:space="preserve">award of </w:t>
      </w:r>
      <w:r w:rsidR="00183E52">
        <w:t xml:space="preserve">contract to a </w:t>
      </w:r>
      <w:r w:rsidR="00B03F17">
        <w:t xml:space="preserve">new </w:t>
      </w:r>
      <w:r w:rsidR="00183E52">
        <w:t>payroll IT systems provider to support the ongoing provision of payroll services</w:t>
      </w:r>
      <w:bookmarkEnd w:id="1"/>
      <w:r w:rsidR="000A1A00">
        <w:t xml:space="preserve"> </w:t>
      </w:r>
      <w:r w:rsidR="00C54798">
        <w:t xml:space="preserve">to approximately </w:t>
      </w:r>
      <w:r w:rsidR="000A1A00">
        <w:t>2,500 staff</w:t>
      </w:r>
      <w:r w:rsidR="00C54798">
        <w:t xml:space="preserve"> and </w:t>
      </w:r>
      <w:r w:rsidR="000A1A00">
        <w:t>6,000 pensioners</w:t>
      </w:r>
      <w:r w:rsidR="00D84100">
        <w:t>.</w:t>
      </w:r>
      <w:r w:rsidR="00183E52">
        <w:t xml:space="preserve"> </w:t>
      </w:r>
    </w:p>
    <w:p w14:paraId="0A078380" w14:textId="77777777" w:rsidR="00AD1E77" w:rsidRDefault="001C7E35" w:rsidP="00DA50EC">
      <w:pPr>
        <w:pStyle w:val="Heading3"/>
        <w:spacing w:before="240"/>
      </w:pPr>
      <w:r>
        <w:t xml:space="preserve">Options considered  </w:t>
      </w:r>
    </w:p>
    <w:p w14:paraId="573B1079" w14:textId="77777777" w:rsidR="00C87E6D" w:rsidRDefault="00C87E6D" w:rsidP="00DA50EC"/>
    <w:p w14:paraId="1DA48557" w14:textId="715C14DA" w:rsidR="008F7F23" w:rsidRDefault="00DC40EC" w:rsidP="00FC5D05">
      <w:r>
        <w:t xml:space="preserve">It is not feasible to “do nothing” as the Council’s </w:t>
      </w:r>
      <w:r w:rsidR="0085420D">
        <w:t xml:space="preserve">existing payroll </w:t>
      </w:r>
      <w:r w:rsidR="00100124">
        <w:t xml:space="preserve">system provider </w:t>
      </w:r>
      <w:r w:rsidR="00134523">
        <w:t xml:space="preserve">is </w:t>
      </w:r>
      <w:r w:rsidR="0085420D">
        <w:t>ceas</w:t>
      </w:r>
      <w:r w:rsidR="00100124">
        <w:t xml:space="preserve">ing UK operations in </w:t>
      </w:r>
      <w:r w:rsidR="0085420D">
        <w:t xml:space="preserve">December 2024.  </w:t>
      </w:r>
      <w:r w:rsidR="00134523">
        <w:t xml:space="preserve">However, the </w:t>
      </w:r>
      <w:r w:rsidR="00652792">
        <w:t>scale of a payroll replacement project</w:t>
      </w:r>
      <w:r w:rsidR="0064209D">
        <w:t xml:space="preserve">, </w:t>
      </w:r>
      <w:r w:rsidR="00652792">
        <w:t xml:space="preserve">the </w:t>
      </w:r>
      <w:r w:rsidR="0064209D">
        <w:t xml:space="preserve">close integration </w:t>
      </w:r>
      <w:r w:rsidR="00652792">
        <w:t xml:space="preserve">between Payroll and </w:t>
      </w:r>
      <w:r w:rsidR="0064209D">
        <w:t>HR</w:t>
      </w:r>
      <w:r w:rsidR="00652792">
        <w:t xml:space="preserve">, </w:t>
      </w:r>
      <w:r w:rsidR="0064209D">
        <w:t xml:space="preserve">and the </w:t>
      </w:r>
      <w:r w:rsidR="00436F6B">
        <w:t xml:space="preserve">perception that our Dynamics </w:t>
      </w:r>
      <w:r w:rsidR="00652792">
        <w:t xml:space="preserve">HR </w:t>
      </w:r>
      <w:r w:rsidR="008B11D1">
        <w:t xml:space="preserve">system is </w:t>
      </w:r>
      <w:r w:rsidR="00652792">
        <w:t xml:space="preserve">currently </w:t>
      </w:r>
      <w:r w:rsidR="008B11D1">
        <w:t xml:space="preserve">not </w:t>
      </w:r>
      <w:r w:rsidR="00652792">
        <w:t xml:space="preserve">optimised, does require </w:t>
      </w:r>
      <w:r w:rsidR="00B31492">
        <w:t>us to consider a range of approach</w:t>
      </w:r>
      <w:r w:rsidR="00E80E63">
        <w:t xml:space="preserve"> options</w:t>
      </w:r>
      <w:r w:rsidR="008F7F23">
        <w:t>, as follows:</w:t>
      </w:r>
    </w:p>
    <w:p w14:paraId="69B5DCCE" w14:textId="77777777" w:rsidR="00B31492" w:rsidRDefault="00B31492" w:rsidP="00FC5D05"/>
    <w:p w14:paraId="60F576D8" w14:textId="387EDB36" w:rsidR="00B31492" w:rsidRDefault="008749D4" w:rsidP="00FC5D05">
      <w:r>
        <w:rPr>
          <w:noProof/>
        </w:rPr>
        <w:drawing>
          <wp:inline distT="0" distB="0" distL="0" distR="0" wp14:anchorId="143F9680" wp14:editId="675F7250">
            <wp:extent cx="5631383" cy="178789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6343" cy="1795820"/>
                    </a:xfrm>
                    <a:prstGeom prst="rect">
                      <a:avLst/>
                    </a:prstGeom>
                    <a:noFill/>
                  </pic:spPr>
                </pic:pic>
              </a:graphicData>
            </a:graphic>
          </wp:inline>
        </w:drawing>
      </w:r>
    </w:p>
    <w:p w14:paraId="13ADB1D7" w14:textId="77777777" w:rsidR="00B31492" w:rsidRDefault="00B31492" w:rsidP="00FC5D05"/>
    <w:p w14:paraId="19C71F5D" w14:textId="14DCC51B" w:rsidR="00FC5D05" w:rsidRDefault="001A1035" w:rsidP="00FC5D05">
      <w:r>
        <w:lastRenderedPageBreak/>
        <w:t xml:space="preserve">With </w:t>
      </w:r>
      <w:r w:rsidR="00E80E63">
        <w:t xml:space="preserve">support </w:t>
      </w:r>
      <w:r>
        <w:t xml:space="preserve">from third party </w:t>
      </w:r>
      <w:r w:rsidR="003638B6">
        <w:t>Subject Matter Experts (</w:t>
      </w:r>
      <w:proofErr w:type="spellStart"/>
      <w:r w:rsidR="00B929E7">
        <w:t>Socitm</w:t>
      </w:r>
      <w:proofErr w:type="spellEnd"/>
      <w:r w:rsidR="00B929E7">
        <w:t xml:space="preserve"> advisory)</w:t>
      </w:r>
      <w:r w:rsidR="00E80E63">
        <w:t>,</w:t>
      </w:r>
      <w:r w:rsidR="00B929E7">
        <w:t xml:space="preserve"> </w:t>
      </w:r>
      <w:r w:rsidR="00E80E63">
        <w:t xml:space="preserve">a team of officers from HR, Payroll, Pensions, Finance/Procurement and IT </w:t>
      </w:r>
      <w:r w:rsidR="003638B6">
        <w:t xml:space="preserve">assessed </w:t>
      </w:r>
      <w:r w:rsidR="00E80E63">
        <w:t xml:space="preserve">each option </w:t>
      </w:r>
      <w:r w:rsidR="003638B6">
        <w:t>against the following criteria:</w:t>
      </w:r>
    </w:p>
    <w:p w14:paraId="3752C1C2" w14:textId="77777777" w:rsidR="003638B6" w:rsidRDefault="003638B6" w:rsidP="00FC5D05"/>
    <w:p w14:paraId="2FA7A930" w14:textId="4950CC27" w:rsidR="008F7F23" w:rsidRPr="008F7F23" w:rsidRDefault="008F7F23" w:rsidP="008F7F23">
      <w:r w:rsidRPr="008F7F23">
        <w:rPr>
          <w:b/>
          <w:bCs/>
        </w:rPr>
        <w:t xml:space="preserve">Cost </w:t>
      </w:r>
      <w:r w:rsidRPr="008F7F23">
        <w:t>–</w:t>
      </w:r>
      <w:r w:rsidR="00F4553B">
        <w:t xml:space="preserve"> </w:t>
      </w:r>
      <w:r w:rsidRPr="008F7F23">
        <w:t xml:space="preserve">of </w:t>
      </w:r>
      <w:r w:rsidR="005216AF">
        <w:t xml:space="preserve">each </w:t>
      </w:r>
      <w:r w:rsidR="00A75C1B">
        <w:t>option over 10 years</w:t>
      </w:r>
      <w:r w:rsidRPr="008F7F23">
        <w:t xml:space="preserve">, including </w:t>
      </w:r>
      <w:r w:rsidR="00F614CC">
        <w:t xml:space="preserve">implementation, </w:t>
      </w:r>
      <w:r w:rsidR="00A75C1B">
        <w:t xml:space="preserve">annual </w:t>
      </w:r>
      <w:r w:rsidRPr="008F7F23">
        <w:t>licens</w:t>
      </w:r>
      <w:r w:rsidR="00F614CC">
        <w:t xml:space="preserve">ing and support, and </w:t>
      </w:r>
      <w:r w:rsidR="00A75C1B">
        <w:t xml:space="preserve">financing </w:t>
      </w:r>
    </w:p>
    <w:p w14:paraId="4E126E7A" w14:textId="77777777" w:rsidR="008F7F23" w:rsidRPr="008F7F23" w:rsidRDefault="008F7F23" w:rsidP="008F7F23"/>
    <w:p w14:paraId="34252892" w14:textId="03683FE9" w:rsidR="008F7F23" w:rsidRPr="008F7F23" w:rsidRDefault="00670277" w:rsidP="008F7F23">
      <w:r>
        <w:rPr>
          <w:b/>
          <w:bCs/>
        </w:rPr>
        <w:t>R</w:t>
      </w:r>
      <w:r w:rsidR="008F7F23" w:rsidRPr="008F7F23">
        <w:rPr>
          <w:b/>
          <w:bCs/>
        </w:rPr>
        <w:t>equirements</w:t>
      </w:r>
      <w:r w:rsidR="008F7F23" w:rsidRPr="008F7F23">
        <w:t xml:space="preserve"> – How well does </w:t>
      </w:r>
      <w:r>
        <w:t xml:space="preserve">each </w:t>
      </w:r>
      <w:r w:rsidR="008F7F23" w:rsidRPr="008F7F23">
        <w:t xml:space="preserve">option meet the </w:t>
      </w:r>
      <w:r>
        <w:t xml:space="preserve">Council’s functional </w:t>
      </w:r>
      <w:r w:rsidR="008F7F23" w:rsidRPr="008F7F23">
        <w:t xml:space="preserve">requirements for </w:t>
      </w:r>
      <w:r>
        <w:t>Payroll and HR</w:t>
      </w:r>
    </w:p>
    <w:p w14:paraId="1092323F" w14:textId="77777777" w:rsidR="008F7F23" w:rsidRPr="008F7F23" w:rsidRDefault="008F7F23" w:rsidP="008F7F23"/>
    <w:p w14:paraId="539E601F" w14:textId="01DB4852" w:rsidR="008F7F23" w:rsidRPr="008F7F23" w:rsidRDefault="00670277" w:rsidP="008F7F23">
      <w:r>
        <w:rPr>
          <w:b/>
          <w:bCs/>
        </w:rPr>
        <w:t>S</w:t>
      </w:r>
      <w:r w:rsidR="008F7F23" w:rsidRPr="008F7F23">
        <w:rPr>
          <w:b/>
          <w:bCs/>
        </w:rPr>
        <w:t xml:space="preserve">trategic </w:t>
      </w:r>
      <w:r>
        <w:rPr>
          <w:b/>
          <w:bCs/>
        </w:rPr>
        <w:t xml:space="preserve">fit </w:t>
      </w:r>
      <w:r w:rsidR="008F7F23" w:rsidRPr="008F7F23">
        <w:t xml:space="preserve">– How well does </w:t>
      </w:r>
      <w:r>
        <w:t xml:space="preserve">each </w:t>
      </w:r>
      <w:r w:rsidR="008F7F23" w:rsidRPr="008F7F23">
        <w:t xml:space="preserve">option meet </w:t>
      </w:r>
      <w:r w:rsidR="008F7F23">
        <w:t xml:space="preserve">a </w:t>
      </w:r>
      <w:r w:rsidR="008F7F23" w:rsidRPr="008F7F23">
        <w:t>predefined list of strategic drivers</w:t>
      </w:r>
      <w:r w:rsidR="008F7F23">
        <w:t xml:space="preserve"> for Harrow </w:t>
      </w:r>
      <w:r>
        <w:t>(</w:t>
      </w:r>
      <w:r w:rsidR="00652BA5">
        <w:t>system consolidation, automation user experience, etc)</w:t>
      </w:r>
    </w:p>
    <w:p w14:paraId="7DDA58CE" w14:textId="77777777" w:rsidR="008F7F23" w:rsidRPr="008F7F23" w:rsidRDefault="008F7F23" w:rsidP="008F7F23"/>
    <w:p w14:paraId="05A72DDF" w14:textId="6B1737AE" w:rsidR="003638B6" w:rsidRDefault="008F7F23" w:rsidP="008F7F23">
      <w:r w:rsidRPr="008F7F23">
        <w:rPr>
          <w:b/>
          <w:bCs/>
        </w:rPr>
        <w:t>Feasibility</w:t>
      </w:r>
      <w:r w:rsidRPr="008F7F23">
        <w:t xml:space="preserve"> – How achievable is it to implement </w:t>
      </w:r>
      <w:r w:rsidR="00652BA5">
        <w:t xml:space="preserve">the chosen option </w:t>
      </w:r>
      <w:r w:rsidRPr="008F7F23">
        <w:t xml:space="preserve">within the timeframe </w:t>
      </w:r>
      <w:r w:rsidR="00652BA5">
        <w:t xml:space="preserve">available – </w:t>
      </w:r>
      <w:proofErr w:type="spellStart"/>
      <w:r w:rsidR="00652BA5">
        <w:t>ie</w:t>
      </w:r>
      <w:proofErr w:type="spellEnd"/>
      <w:r w:rsidR="00652BA5">
        <w:t xml:space="preserve"> to complete the </w:t>
      </w:r>
      <w:r w:rsidR="006A34A6">
        <w:t>payroll replacement by November 2024</w:t>
      </w:r>
    </w:p>
    <w:p w14:paraId="5AFDB390" w14:textId="77777777" w:rsidR="00B76C26" w:rsidRDefault="00B76C26" w:rsidP="008F7F23"/>
    <w:p w14:paraId="61A263E9" w14:textId="79041050" w:rsidR="00B76C26" w:rsidRDefault="00A95267" w:rsidP="008F7F23">
      <w:r>
        <w:t>The results can be summarised as follows:</w:t>
      </w:r>
    </w:p>
    <w:p w14:paraId="03479DC9" w14:textId="77777777" w:rsidR="00FC5D05" w:rsidRDefault="00FC5D05" w:rsidP="00DA50EC">
      <w:pPr>
        <w:rPr>
          <w:b/>
          <w:bCs/>
        </w:rPr>
      </w:pPr>
    </w:p>
    <w:p w14:paraId="2C820F38" w14:textId="201C0DF8" w:rsidR="002877E2" w:rsidRDefault="002877E2" w:rsidP="00DA50EC">
      <w:pPr>
        <w:rPr>
          <w:b/>
          <w:bCs/>
        </w:rPr>
      </w:pPr>
      <w:r>
        <w:rPr>
          <w:b/>
          <w:bCs/>
          <w:noProof/>
        </w:rPr>
        <w:drawing>
          <wp:inline distT="0" distB="0" distL="0" distR="0" wp14:anchorId="1852A499" wp14:editId="6A44AAF5">
            <wp:extent cx="5578535" cy="2228195"/>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9005" cy="2236371"/>
                    </a:xfrm>
                    <a:prstGeom prst="rect">
                      <a:avLst/>
                    </a:prstGeom>
                    <a:noFill/>
                  </pic:spPr>
                </pic:pic>
              </a:graphicData>
            </a:graphic>
          </wp:inline>
        </w:drawing>
      </w:r>
    </w:p>
    <w:p w14:paraId="0A9BCE43" w14:textId="381230F3" w:rsidR="00D84100" w:rsidRDefault="00D84100" w:rsidP="00DA50EC">
      <w:pPr>
        <w:pStyle w:val="Heading3"/>
        <w:spacing w:before="240"/>
      </w:pPr>
    </w:p>
    <w:p w14:paraId="74F789A2" w14:textId="77777777" w:rsidR="00C342BB" w:rsidRDefault="00C342BB" w:rsidP="00C342BB">
      <w:r>
        <w:t>Option 3 (procurement of an integrated HR and Payroll system) does offer the best fit with our HR and Payroll functional requirements and our strategic drivers for system consolidation, automation and user experience.  However it is not feasible to safely implement this in the time we have available before our existing payroll ceases.  Furthermore the budgetary impact of writing-off the original Dynamics HR project capital cost, earlier than envisaged, makes this unaffordable.</w:t>
      </w:r>
    </w:p>
    <w:p w14:paraId="5768127F" w14:textId="77777777" w:rsidR="00C342BB" w:rsidRDefault="00C342BB" w:rsidP="00C342BB"/>
    <w:p w14:paraId="4E9A7BB6" w14:textId="77777777" w:rsidR="00C342BB" w:rsidRDefault="00C342BB" w:rsidP="00C342BB">
      <w:r>
        <w:t>On this basis, Option 2 (source and implement a new payroll solution, and optimise Dynamics), is the immediate recommendation.  This does not preclude a future decision to adopt Option 4 (procurement of the HR component of the payroll solution, in place of Dynamics HR), it is suggested that this decision is made in summer 2025.</w:t>
      </w:r>
    </w:p>
    <w:p w14:paraId="681C3631" w14:textId="00BE40C4" w:rsidR="1CB6C805" w:rsidRDefault="1CB6C805" w:rsidP="1CB6C805"/>
    <w:p w14:paraId="3A0F9D92" w14:textId="77777777" w:rsidR="00381807" w:rsidRPr="00A30B49" w:rsidRDefault="00381807" w:rsidP="00381807">
      <w:pPr>
        <w:pStyle w:val="Heading2"/>
        <w:spacing w:before="240"/>
        <w:rPr>
          <w:rFonts w:ascii="Arial" w:hAnsi="Arial"/>
          <w:sz w:val="28"/>
          <w:szCs w:val="28"/>
        </w:rPr>
      </w:pPr>
      <w:r w:rsidRPr="00A30B49">
        <w:rPr>
          <w:rFonts w:ascii="Arial" w:hAnsi="Arial"/>
          <w:sz w:val="28"/>
          <w:szCs w:val="28"/>
        </w:rPr>
        <w:t xml:space="preserve">Background </w:t>
      </w:r>
    </w:p>
    <w:p w14:paraId="1347CE24" w14:textId="77777777" w:rsidR="006A34A6" w:rsidRDefault="006A34A6" w:rsidP="006A34A6"/>
    <w:p w14:paraId="41CAFAEC" w14:textId="21090E80" w:rsidR="00BA157C" w:rsidRDefault="00005D8E" w:rsidP="006A34A6">
      <w:r>
        <w:lastRenderedPageBreak/>
        <w:t xml:space="preserve">The </w:t>
      </w:r>
      <w:r w:rsidR="00411BD8">
        <w:t>Council’s</w:t>
      </w:r>
      <w:r w:rsidR="00041933">
        <w:t xml:space="preserve"> existing </w:t>
      </w:r>
      <w:r w:rsidR="00041933" w:rsidRPr="00EC0F28">
        <w:rPr>
          <w:i/>
          <w:iCs/>
        </w:rPr>
        <w:t>Loki</w:t>
      </w:r>
      <w:r w:rsidR="00041933">
        <w:t xml:space="preserve"> payroll </w:t>
      </w:r>
      <w:r>
        <w:t>system</w:t>
      </w:r>
      <w:r w:rsidR="00411BD8">
        <w:t xml:space="preserve"> </w:t>
      </w:r>
      <w:r>
        <w:t xml:space="preserve">was </w:t>
      </w:r>
      <w:r w:rsidR="00041933">
        <w:t xml:space="preserve">implemented alongside the </w:t>
      </w:r>
      <w:r w:rsidR="000A0ADD">
        <w:t xml:space="preserve">wider </w:t>
      </w:r>
      <w:r w:rsidR="00041933">
        <w:t>project</w:t>
      </w:r>
      <w:r w:rsidR="001F4A03">
        <w:t xml:space="preserve">, undertaken with </w:t>
      </w:r>
      <w:r w:rsidR="009F1E0C">
        <w:t xml:space="preserve">Systems </w:t>
      </w:r>
      <w:r w:rsidR="0082010A">
        <w:t xml:space="preserve">Integration Partner </w:t>
      </w:r>
      <w:r w:rsidR="00C119F4">
        <w:t>PwC</w:t>
      </w:r>
      <w:r w:rsidR="00E02A77">
        <w:t xml:space="preserve"> in 202</w:t>
      </w:r>
      <w:r w:rsidR="00C357FD">
        <w:t>0/21-2022/23</w:t>
      </w:r>
      <w:r w:rsidR="001F4A03">
        <w:t>,</w:t>
      </w:r>
      <w:r w:rsidR="00041933">
        <w:t xml:space="preserve"> </w:t>
      </w:r>
      <w:r w:rsidR="001F4A03">
        <w:t xml:space="preserve">to replace </w:t>
      </w:r>
      <w:r w:rsidR="001F4A03" w:rsidRPr="008936F1">
        <w:rPr>
          <w:i/>
          <w:iCs/>
        </w:rPr>
        <w:t>SAP</w:t>
      </w:r>
      <w:r w:rsidR="001F4A03">
        <w:t xml:space="preserve"> with the </w:t>
      </w:r>
      <w:r w:rsidR="000A0ADD">
        <w:t xml:space="preserve">Microsoft </w:t>
      </w:r>
      <w:r w:rsidR="001F4A03">
        <w:t xml:space="preserve">Dynamics Finance and Operations </w:t>
      </w:r>
      <w:r w:rsidR="00EC0F28">
        <w:t>(F&amp;O) solution.</w:t>
      </w:r>
      <w:r w:rsidR="00A27E96">
        <w:t xml:space="preserve">  </w:t>
      </w:r>
      <w:r w:rsidR="00A27E96">
        <w:rPr>
          <w:i/>
          <w:iCs/>
        </w:rPr>
        <w:t xml:space="preserve">Loki </w:t>
      </w:r>
      <w:r w:rsidR="005A5945">
        <w:t xml:space="preserve">were selected in 2020 </w:t>
      </w:r>
      <w:r w:rsidR="00BA157C">
        <w:t xml:space="preserve">because they were the only HMRC-compliant UK payroll provider that integrated directly with Dynamics </w:t>
      </w:r>
      <w:r w:rsidR="000E5799">
        <w:t>F&amp;O</w:t>
      </w:r>
      <w:r w:rsidR="00BA157C">
        <w:t xml:space="preserve">.  </w:t>
      </w:r>
      <w:r w:rsidR="000E5799">
        <w:t xml:space="preserve">The Council has used Loki to deliver payroll services to approximately 2,500 staff and 6,000 pensioners </w:t>
      </w:r>
      <w:r w:rsidR="00BA157C">
        <w:t>since HR and Payroll go-live in April 2022.</w:t>
      </w:r>
    </w:p>
    <w:p w14:paraId="27E1EE73" w14:textId="77777777" w:rsidR="00237270" w:rsidRDefault="00237270" w:rsidP="006A34A6"/>
    <w:p w14:paraId="26018710" w14:textId="14325758" w:rsidR="00076C3B" w:rsidRDefault="008D3E14" w:rsidP="001F4749">
      <w:r>
        <w:t xml:space="preserve">Harrow </w:t>
      </w:r>
      <w:r w:rsidR="00062263">
        <w:t xml:space="preserve">made the decision to adopt Dynamics F&amp;O in April 2020, being the </w:t>
      </w:r>
      <w:r>
        <w:t xml:space="preserve">first </w:t>
      </w:r>
      <w:r w:rsidR="004A0218">
        <w:t xml:space="preserve">UK Council </w:t>
      </w:r>
      <w:r>
        <w:t xml:space="preserve">to </w:t>
      </w:r>
      <w:r w:rsidR="00062263">
        <w:t>do so</w:t>
      </w:r>
      <w:r w:rsidR="00CE7C25">
        <w:t xml:space="preserve">.  </w:t>
      </w:r>
      <w:r w:rsidR="00A5371F">
        <w:t>T</w:t>
      </w:r>
      <w:r w:rsidR="004A0218">
        <w:t xml:space="preserve">he </w:t>
      </w:r>
      <w:r w:rsidR="00A5371F">
        <w:t xml:space="preserve">implementation </w:t>
      </w:r>
      <w:r w:rsidR="00485AEB">
        <w:t xml:space="preserve">programme </w:t>
      </w:r>
      <w:r w:rsidR="004A0218">
        <w:t xml:space="preserve">experienced </w:t>
      </w:r>
      <w:r w:rsidR="00CE7C25">
        <w:t xml:space="preserve">significant </w:t>
      </w:r>
      <w:r w:rsidR="004A0218">
        <w:t xml:space="preserve">challenges and delays.  Following </w:t>
      </w:r>
      <w:r w:rsidR="006618CD">
        <w:t xml:space="preserve">final </w:t>
      </w:r>
      <w:r w:rsidR="00A5371F">
        <w:t xml:space="preserve">phase go-live </w:t>
      </w:r>
      <w:r w:rsidR="004A0218">
        <w:t>in April 2022</w:t>
      </w:r>
      <w:r w:rsidR="009A2906">
        <w:t xml:space="preserve">, </w:t>
      </w:r>
      <w:r w:rsidR="00386482">
        <w:t>a “Fix the Basics” improvement programme</w:t>
      </w:r>
      <w:r w:rsidR="006618CD">
        <w:t xml:space="preserve"> </w:t>
      </w:r>
      <w:r w:rsidR="009A2906">
        <w:t xml:space="preserve">was undertaken to </w:t>
      </w:r>
      <w:r w:rsidR="006618CD">
        <w:t xml:space="preserve">address multiple functional issues. </w:t>
      </w:r>
      <w:r w:rsidR="005E200A">
        <w:t xml:space="preserve">A major project to merge the </w:t>
      </w:r>
      <w:r w:rsidR="00C60349">
        <w:t xml:space="preserve">Dynamics </w:t>
      </w:r>
      <w:r w:rsidR="006618CD">
        <w:t xml:space="preserve">HR </w:t>
      </w:r>
      <w:r w:rsidR="00C60349">
        <w:t xml:space="preserve">module with </w:t>
      </w:r>
      <w:r w:rsidR="005E200A">
        <w:t xml:space="preserve">the </w:t>
      </w:r>
      <w:r w:rsidR="00F752AE">
        <w:t xml:space="preserve">Dynamics </w:t>
      </w:r>
      <w:r w:rsidR="00C60349">
        <w:t>Finance</w:t>
      </w:r>
      <w:r w:rsidR="005E200A">
        <w:t xml:space="preserve"> system</w:t>
      </w:r>
      <w:r w:rsidR="00F752AE">
        <w:t xml:space="preserve"> had to be completed in-</w:t>
      </w:r>
      <w:r w:rsidR="00C60349">
        <w:t>line with Microsoft product strategy</w:t>
      </w:r>
      <w:r w:rsidR="005E200A">
        <w:t xml:space="preserve"> by </w:t>
      </w:r>
      <w:r w:rsidR="00F752AE">
        <w:t xml:space="preserve">a deadline of </w:t>
      </w:r>
      <w:r w:rsidR="005E200A">
        <w:t>31/12/23.</w:t>
      </w:r>
      <w:r w:rsidR="00F752AE">
        <w:t xml:space="preserve"> It has also been necessary to create a new, highly technical </w:t>
      </w:r>
      <w:r w:rsidR="00076C3B">
        <w:t xml:space="preserve">Dynamics support team and </w:t>
      </w:r>
      <w:r w:rsidR="00F752AE">
        <w:t xml:space="preserve">to procure a new </w:t>
      </w:r>
      <w:r w:rsidR="00076C3B">
        <w:t xml:space="preserve">outsourced </w:t>
      </w:r>
      <w:r w:rsidR="00F752AE">
        <w:t xml:space="preserve">IT </w:t>
      </w:r>
      <w:r w:rsidR="00076C3B">
        <w:t>support partner.</w:t>
      </w:r>
    </w:p>
    <w:p w14:paraId="5E50463E" w14:textId="77777777" w:rsidR="00076C3B" w:rsidRDefault="00076C3B" w:rsidP="001F4749"/>
    <w:p w14:paraId="58AA0B79" w14:textId="3CB73CD5" w:rsidR="007F75FC" w:rsidRDefault="00216439" w:rsidP="006A34A6">
      <w:r>
        <w:t>In June 2023, Loki announced that they were ceasing UK Payroll operations from Dec 2024</w:t>
      </w:r>
      <w:r w:rsidR="00443013">
        <w:t>.</w:t>
      </w:r>
      <w:r w:rsidR="005D10D0">
        <w:t xml:space="preserve">  </w:t>
      </w:r>
      <w:r w:rsidR="006A7572">
        <w:t xml:space="preserve">Following successful completion </w:t>
      </w:r>
      <w:r w:rsidR="00AE18B9">
        <w:t xml:space="preserve">of </w:t>
      </w:r>
      <w:r w:rsidR="008F123B">
        <w:t>the other projects outlined above</w:t>
      </w:r>
      <w:r w:rsidR="00AE18B9">
        <w:t xml:space="preserve">, the </w:t>
      </w:r>
      <w:r w:rsidR="005E1FAC">
        <w:t xml:space="preserve">Harrow Dynamics </w:t>
      </w:r>
      <w:r w:rsidR="00AE18B9">
        <w:t xml:space="preserve">team have </w:t>
      </w:r>
      <w:r w:rsidR="00AF55B1">
        <w:t xml:space="preserve">prioritised </w:t>
      </w:r>
      <w:r w:rsidR="00B9081D">
        <w:t xml:space="preserve">payroll replacement.  This work </w:t>
      </w:r>
      <w:r w:rsidR="005E1FAC">
        <w:t xml:space="preserve">is expected to remain </w:t>
      </w:r>
      <w:r w:rsidR="00B9081D">
        <w:t xml:space="preserve">the top priority </w:t>
      </w:r>
      <w:r w:rsidR="005E1FAC">
        <w:t>until completion</w:t>
      </w:r>
      <w:r w:rsidR="008F123B">
        <w:t xml:space="preserve"> in November 2024</w:t>
      </w:r>
      <w:r w:rsidR="005E1FAC">
        <w:t>.</w:t>
      </w:r>
    </w:p>
    <w:p w14:paraId="7F309ECF" w14:textId="77777777" w:rsidR="005E1FAC" w:rsidRDefault="005E1FAC" w:rsidP="006A34A6"/>
    <w:p w14:paraId="337519A5" w14:textId="6A4D948C" w:rsidR="008E1362" w:rsidRDefault="004A1919" w:rsidP="004A4BC1">
      <w:r>
        <w:t>To</w:t>
      </w:r>
      <w:r w:rsidR="002F2585">
        <w:t xml:space="preserve"> </w:t>
      </w:r>
      <w:r w:rsidR="0077003D">
        <w:t xml:space="preserve">provide confidence in the </w:t>
      </w:r>
      <w:r w:rsidR="00D222D0">
        <w:t xml:space="preserve">approach being taken, and </w:t>
      </w:r>
      <w:r w:rsidR="00926632">
        <w:t xml:space="preserve">to </w:t>
      </w:r>
      <w:r w:rsidR="00FB7975">
        <w:t xml:space="preserve">build </w:t>
      </w:r>
      <w:r w:rsidR="00D222D0">
        <w:t xml:space="preserve">internal </w:t>
      </w:r>
      <w:r w:rsidR="00CD03EA">
        <w:t>consensus</w:t>
      </w:r>
      <w:r w:rsidR="00FB7975">
        <w:t>, two concurrent</w:t>
      </w:r>
      <w:r w:rsidR="00284B3D">
        <w:t>,</w:t>
      </w:r>
      <w:r w:rsidR="00FB7975">
        <w:t xml:space="preserve"> </w:t>
      </w:r>
      <w:r w:rsidR="00284B3D">
        <w:t xml:space="preserve">non-binding </w:t>
      </w:r>
      <w:r w:rsidR="00FB7975">
        <w:t>G-Cloud “clarification” procurements were undertaken</w:t>
      </w:r>
      <w:r w:rsidR="008E1362">
        <w:t xml:space="preserve"> </w:t>
      </w:r>
      <w:r w:rsidR="00284B3D">
        <w:t xml:space="preserve">from </w:t>
      </w:r>
      <w:r w:rsidR="008E1362">
        <w:t>Dec</w:t>
      </w:r>
      <w:r w:rsidR="00284B3D">
        <w:t xml:space="preserve"> 23</w:t>
      </w:r>
      <w:r w:rsidR="008E1362">
        <w:t>-Jan 2</w:t>
      </w:r>
      <w:r w:rsidR="00284B3D">
        <w:t>4 as follows</w:t>
      </w:r>
      <w:r w:rsidR="008E1362">
        <w:t>:</w:t>
      </w:r>
    </w:p>
    <w:p w14:paraId="0B4B4661" w14:textId="77777777" w:rsidR="008E1362" w:rsidRDefault="008E1362" w:rsidP="004A4BC1"/>
    <w:p w14:paraId="237193AA" w14:textId="77777777" w:rsidR="008E1362" w:rsidRDefault="00EC35C0" w:rsidP="008E1362">
      <w:pPr>
        <w:pStyle w:val="ListParagraph"/>
        <w:numPr>
          <w:ilvl w:val="0"/>
          <w:numId w:val="49"/>
        </w:numPr>
      </w:pPr>
      <w:r>
        <w:t>Payroll only</w:t>
      </w:r>
    </w:p>
    <w:p w14:paraId="3E567247" w14:textId="5730F32A" w:rsidR="00EC35C0" w:rsidRDefault="00EC35C0" w:rsidP="008E1362">
      <w:pPr>
        <w:pStyle w:val="ListParagraph"/>
        <w:numPr>
          <w:ilvl w:val="0"/>
          <w:numId w:val="49"/>
        </w:numPr>
      </w:pPr>
      <w:r>
        <w:t>HR &amp; Payroll solution</w:t>
      </w:r>
    </w:p>
    <w:p w14:paraId="4064CD9C" w14:textId="77777777" w:rsidR="00EC35C0" w:rsidRDefault="00EC35C0" w:rsidP="004A4BC1"/>
    <w:p w14:paraId="4BF06B6C" w14:textId="747D2F00" w:rsidR="00454E50" w:rsidRDefault="008E1362" w:rsidP="004A4BC1">
      <w:r>
        <w:t>T</w:t>
      </w:r>
      <w:r w:rsidR="004A4BC1">
        <w:t>hird party Subject Matter Experts (</w:t>
      </w:r>
      <w:proofErr w:type="spellStart"/>
      <w:r w:rsidR="004A4BC1">
        <w:t>Socitm</w:t>
      </w:r>
      <w:proofErr w:type="spellEnd"/>
      <w:r w:rsidR="004A4BC1">
        <w:t xml:space="preserve"> advisory)</w:t>
      </w:r>
      <w:r>
        <w:t xml:space="preserve"> were engaged to </w:t>
      </w:r>
      <w:r w:rsidR="004B0CA1">
        <w:t xml:space="preserve">support the process, bringing a library of “best practise” requirements from </w:t>
      </w:r>
      <w:r w:rsidR="00454E50">
        <w:t>recent ERP procurements undertaken by a wide range of UK Local Authorities</w:t>
      </w:r>
      <w:r w:rsidR="00A85EF4">
        <w:t xml:space="preserve"> and London Councils</w:t>
      </w:r>
      <w:r w:rsidR="00454E50">
        <w:t>.</w:t>
      </w:r>
    </w:p>
    <w:p w14:paraId="36985F61" w14:textId="77777777" w:rsidR="00454E50" w:rsidRDefault="00454E50" w:rsidP="004A4BC1"/>
    <w:p w14:paraId="6C3BAB08" w14:textId="2BB46713" w:rsidR="0069564F" w:rsidRDefault="00A85EF4" w:rsidP="006A34A6">
      <w:r>
        <w:t xml:space="preserve">A </w:t>
      </w:r>
      <w:r w:rsidR="004A4BC1">
        <w:t xml:space="preserve">team of officers from HR, Payroll, Pensions, Finance/Procurement and IT </w:t>
      </w:r>
      <w:r w:rsidR="00C224B2">
        <w:t xml:space="preserve">agreed </w:t>
      </w:r>
      <w:r w:rsidR="00634981">
        <w:t xml:space="preserve">final </w:t>
      </w:r>
      <w:r w:rsidR="00C224B2">
        <w:t xml:space="preserve">requirements for both procurements and took part in the </w:t>
      </w:r>
      <w:r w:rsidR="00634981">
        <w:t xml:space="preserve">soft market testing, demos, </w:t>
      </w:r>
      <w:r w:rsidR="00452047">
        <w:t>evaluation</w:t>
      </w:r>
      <w:r w:rsidR="00634981">
        <w:t xml:space="preserve"> </w:t>
      </w:r>
      <w:r w:rsidR="00F42A1C">
        <w:t xml:space="preserve">and </w:t>
      </w:r>
      <w:r w:rsidR="00452047">
        <w:t xml:space="preserve">moderation of </w:t>
      </w:r>
      <w:r w:rsidR="00634981">
        <w:t>supplier proposals</w:t>
      </w:r>
      <w:r w:rsidR="00F42A1C">
        <w:t xml:space="preserve">.  This resulted in a </w:t>
      </w:r>
      <w:r w:rsidR="00CE5027">
        <w:t xml:space="preserve">recommended supplier </w:t>
      </w:r>
      <w:r w:rsidR="0069564F">
        <w:t xml:space="preserve">for </w:t>
      </w:r>
      <w:r w:rsidR="00493932">
        <w:t xml:space="preserve">both </w:t>
      </w:r>
      <w:r w:rsidR="004A4BC1">
        <w:t>Payroll</w:t>
      </w:r>
      <w:r w:rsidR="0069564F">
        <w:t xml:space="preserve"> only</w:t>
      </w:r>
      <w:r w:rsidR="00493932">
        <w:t xml:space="preserve">, </w:t>
      </w:r>
      <w:r w:rsidR="0069564F">
        <w:t>and HR &amp; Payroll</w:t>
      </w:r>
      <w:r w:rsidR="00FB7975">
        <w:t>.</w:t>
      </w:r>
    </w:p>
    <w:p w14:paraId="248E1468" w14:textId="77777777" w:rsidR="0069564F" w:rsidRDefault="0069564F" w:rsidP="006A34A6"/>
    <w:p w14:paraId="0E5F87D9" w14:textId="05967B23" w:rsidR="7277A10B" w:rsidRPr="00E0254A" w:rsidRDefault="7277A10B" w:rsidP="1CB6C805">
      <w:r w:rsidRPr="00E0254A">
        <w:t xml:space="preserve">The appraisal included considerations of value for money under the council’s statutory duties.  The option </w:t>
      </w:r>
      <w:r w:rsidR="00BA31FF" w:rsidRPr="00E0254A">
        <w:t>adopted constitutes value for money.</w:t>
      </w:r>
    </w:p>
    <w:p w14:paraId="52AA5754" w14:textId="77777777" w:rsidR="00F94904" w:rsidRDefault="00F94904" w:rsidP="0054590F">
      <w:pPr>
        <w:rPr>
          <w:szCs w:val="24"/>
        </w:rPr>
      </w:pPr>
    </w:p>
    <w:p w14:paraId="3A004624" w14:textId="77777777" w:rsidR="00CF6588" w:rsidRDefault="00CF6588" w:rsidP="00CF6588">
      <w:r w:rsidRPr="00D93021">
        <w:t>Following options appraisal as outlined above the Council will be proceeding to award of contract for the Payroll only procurement  (Option 2).</w:t>
      </w:r>
    </w:p>
    <w:p w14:paraId="5EBDFF84" w14:textId="77777777" w:rsidR="00CF6588" w:rsidRDefault="00CF6588" w:rsidP="0054590F">
      <w:pPr>
        <w:rPr>
          <w:szCs w:val="24"/>
        </w:rPr>
      </w:pPr>
    </w:p>
    <w:p w14:paraId="4DAC4B53" w14:textId="77777777" w:rsidR="00F94904" w:rsidRPr="00F06E4E" w:rsidRDefault="00F94904" w:rsidP="0054590F">
      <w:pPr>
        <w:rPr>
          <w:szCs w:val="24"/>
        </w:rPr>
      </w:pPr>
    </w:p>
    <w:p w14:paraId="71841C0A" w14:textId="77777777" w:rsidR="00333FAA" w:rsidRPr="00EA61FA" w:rsidRDefault="00333FAA" w:rsidP="0054590F">
      <w:pPr>
        <w:pStyle w:val="Heading4"/>
        <w:rPr>
          <w:color w:val="000000" w:themeColor="text1"/>
          <w:szCs w:val="24"/>
        </w:rPr>
      </w:pPr>
      <w:r w:rsidRPr="00EA61FA">
        <w:rPr>
          <w:color w:val="000000" w:themeColor="text1"/>
          <w:szCs w:val="24"/>
        </w:rPr>
        <w:t xml:space="preserve">Resources, costs </w:t>
      </w:r>
    </w:p>
    <w:p w14:paraId="74349A60" w14:textId="77777777" w:rsidR="0054590F" w:rsidRPr="00EA61FA" w:rsidRDefault="0054590F" w:rsidP="0054590F">
      <w:pPr>
        <w:rPr>
          <w:color w:val="000000" w:themeColor="text1"/>
          <w:szCs w:val="24"/>
        </w:rPr>
      </w:pPr>
    </w:p>
    <w:p w14:paraId="1D86078A" w14:textId="1A6DDBB3" w:rsidR="007C316C" w:rsidRPr="00EA61FA" w:rsidRDefault="00FB6301" w:rsidP="0054590F">
      <w:pPr>
        <w:pStyle w:val="Heading4"/>
        <w:rPr>
          <w:b w:val="0"/>
          <w:bCs/>
          <w:color w:val="000000" w:themeColor="text1"/>
          <w:szCs w:val="24"/>
        </w:rPr>
      </w:pPr>
      <w:r w:rsidRPr="00EA61FA">
        <w:rPr>
          <w:b w:val="0"/>
          <w:bCs/>
          <w:color w:val="000000" w:themeColor="text1"/>
          <w:szCs w:val="24"/>
        </w:rPr>
        <w:t xml:space="preserve">In addition to the supplier costs </w:t>
      </w:r>
      <w:r w:rsidR="00085B08" w:rsidRPr="00EA61FA">
        <w:rPr>
          <w:b w:val="0"/>
          <w:bCs/>
          <w:color w:val="000000" w:themeColor="text1"/>
          <w:szCs w:val="24"/>
        </w:rPr>
        <w:t>set out in Confidential Appendix 2</w:t>
      </w:r>
      <w:r w:rsidR="0081627F" w:rsidRPr="00EA61FA">
        <w:rPr>
          <w:b w:val="0"/>
          <w:bCs/>
          <w:color w:val="000000" w:themeColor="text1"/>
          <w:szCs w:val="24"/>
        </w:rPr>
        <w:t xml:space="preserve">, the Council will incur costs </w:t>
      </w:r>
      <w:r w:rsidR="007F07D7" w:rsidRPr="00EA61FA">
        <w:rPr>
          <w:b w:val="0"/>
          <w:bCs/>
          <w:color w:val="000000" w:themeColor="text1"/>
          <w:szCs w:val="24"/>
        </w:rPr>
        <w:t xml:space="preserve">for </w:t>
      </w:r>
      <w:r w:rsidR="007C316C" w:rsidRPr="00EA61FA">
        <w:rPr>
          <w:b w:val="0"/>
          <w:bCs/>
          <w:color w:val="000000" w:themeColor="text1"/>
          <w:szCs w:val="24"/>
        </w:rPr>
        <w:t xml:space="preserve">the </w:t>
      </w:r>
      <w:r w:rsidR="0081627F" w:rsidRPr="00EA61FA">
        <w:rPr>
          <w:b w:val="0"/>
          <w:bCs/>
          <w:color w:val="000000" w:themeColor="text1"/>
          <w:szCs w:val="24"/>
        </w:rPr>
        <w:t xml:space="preserve">third party </w:t>
      </w:r>
      <w:r w:rsidR="009A1146" w:rsidRPr="00EA61FA">
        <w:rPr>
          <w:b w:val="0"/>
          <w:bCs/>
          <w:color w:val="000000" w:themeColor="text1"/>
          <w:szCs w:val="24"/>
        </w:rPr>
        <w:t xml:space="preserve">functional and technical support needed to </w:t>
      </w:r>
      <w:r w:rsidR="007C316C" w:rsidRPr="00EA61FA">
        <w:rPr>
          <w:b w:val="0"/>
          <w:bCs/>
          <w:color w:val="000000" w:themeColor="text1"/>
          <w:szCs w:val="24"/>
        </w:rPr>
        <w:t>implement the new system</w:t>
      </w:r>
      <w:r w:rsidR="00407705">
        <w:rPr>
          <w:b w:val="0"/>
          <w:bCs/>
          <w:color w:val="000000" w:themeColor="text1"/>
          <w:szCs w:val="24"/>
        </w:rPr>
        <w:t xml:space="preserve"> and to augment existing service teams</w:t>
      </w:r>
      <w:r w:rsidR="009A1146" w:rsidRPr="00EA61FA">
        <w:rPr>
          <w:b w:val="0"/>
          <w:bCs/>
          <w:color w:val="000000" w:themeColor="text1"/>
          <w:szCs w:val="24"/>
        </w:rPr>
        <w:t xml:space="preserve">.  </w:t>
      </w:r>
      <w:r w:rsidR="007C316C" w:rsidRPr="00EA61FA">
        <w:rPr>
          <w:b w:val="0"/>
          <w:bCs/>
          <w:color w:val="000000" w:themeColor="text1"/>
          <w:szCs w:val="24"/>
        </w:rPr>
        <w:t xml:space="preserve">A detailed </w:t>
      </w:r>
      <w:r w:rsidR="007C316C" w:rsidRPr="00EA61FA">
        <w:rPr>
          <w:b w:val="0"/>
          <w:bCs/>
          <w:color w:val="000000" w:themeColor="text1"/>
          <w:szCs w:val="24"/>
        </w:rPr>
        <w:lastRenderedPageBreak/>
        <w:t>Harrow resource plan has been developed to reflect the supplier</w:t>
      </w:r>
      <w:r w:rsidR="005A7DDF">
        <w:rPr>
          <w:b w:val="0"/>
          <w:bCs/>
          <w:color w:val="000000" w:themeColor="text1"/>
          <w:szCs w:val="24"/>
        </w:rPr>
        <w:t>’</w:t>
      </w:r>
      <w:r w:rsidR="007C316C" w:rsidRPr="00EA61FA">
        <w:rPr>
          <w:b w:val="0"/>
          <w:bCs/>
          <w:color w:val="000000" w:themeColor="text1"/>
          <w:szCs w:val="24"/>
        </w:rPr>
        <w:t xml:space="preserve">s </w:t>
      </w:r>
      <w:r w:rsidR="005A7DDF">
        <w:rPr>
          <w:b w:val="0"/>
          <w:bCs/>
          <w:color w:val="000000" w:themeColor="text1"/>
          <w:szCs w:val="24"/>
        </w:rPr>
        <w:t xml:space="preserve">own </w:t>
      </w:r>
      <w:r w:rsidR="007C316C" w:rsidRPr="00EA61FA">
        <w:rPr>
          <w:b w:val="0"/>
          <w:bCs/>
          <w:color w:val="000000" w:themeColor="text1"/>
          <w:szCs w:val="24"/>
        </w:rPr>
        <w:t xml:space="preserve">implementation </w:t>
      </w:r>
      <w:r w:rsidR="005A7DDF">
        <w:rPr>
          <w:b w:val="0"/>
          <w:bCs/>
          <w:color w:val="000000" w:themeColor="text1"/>
          <w:szCs w:val="24"/>
        </w:rPr>
        <w:t>plan</w:t>
      </w:r>
      <w:r w:rsidR="00762372">
        <w:rPr>
          <w:b w:val="0"/>
          <w:bCs/>
          <w:color w:val="000000" w:themeColor="text1"/>
          <w:szCs w:val="24"/>
        </w:rPr>
        <w:t xml:space="preserve">.  This </w:t>
      </w:r>
      <w:r w:rsidR="007C316C" w:rsidRPr="00EA61FA">
        <w:rPr>
          <w:b w:val="0"/>
          <w:bCs/>
          <w:color w:val="000000" w:themeColor="text1"/>
          <w:szCs w:val="24"/>
        </w:rPr>
        <w:t>include</w:t>
      </w:r>
      <w:r w:rsidR="00CA32C5" w:rsidRPr="00EA61FA">
        <w:rPr>
          <w:b w:val="0"/>
          <w:bCs/>
          <w:color w:val="000000" w:themeColor="text1"/>
          <w:szCs w:val="24"/>
        </w:rPr>
        <w:t xml:space="preserve">s the following </w:t>
      </w:r>
      <w:r w:rsidR="00F34FBB" w:rsidRPr="00EA61FA">
        <w:rPr>
          <w:b w:val="0"/>
          <w:bCs/>
          <w:color w:val="000000" w:themeColor="text1"/>
          <w:szCs w:val="24"/>
        </w:rPr>
        <w:t xml:space="preserve">additional </w:t>
      </w:r>
      <w:r w:rsidR="00611AA2">
        <w:rPr>
          <w:b w:val="0"/>
          <w:bCs/>
          <w:color w:val="000000" w:themeColor="text1"/>
          <w:szCs w:val="24"/>
        </w:rPr>
        <w:t>capacity</w:t>
      </w:r>
      <w:r w:rsidR="007C316C" w:rsidRPr="00EA61FA">
        <w:rPr>
          <w:b w:val="0"/>
          <w:bCs/>
          <w:color w:val="000000" w:themeColor="text1"/>
          <w:szCs w:val="24"/>
        </w:rPr>
        <w:t>:</w:t>
      </w:r>
    </w:p>
    <w:p w14:paraId="45502B80" w14:textId="77777777" w:rsidR="007C316C" w:rsidRPr="00EA61FA" w:rsidRDefault="007C316C" w:rsidP="0054590F">
      <w:pPr>
        <w:pStyle w:val="Heading4"/>
        <w:rPr>
          <w:b w:val="0"/>
          <w:bCs/>
          <w:color w:val="000000" w:themeColor="text1"/>
          <w:szCs w:val="24"/>
        </w:rPr>
      </w:pPr>
    </w:p>
    <w:p w14:paraId="24879D12" w14:textId="6901B82B" w:rsidR="0086525B" w:rsidRPr="00EA61FA" w:rsidRDefault="007C316C" w:rsidP="007C316C">
      <w:pPr>
        <w:pStyle w:val="Heading4"/>
        <w:numPr>
          <w:ilvl w:val="0"/>
          <w:numId w:val="48"/>
        </w:numPr>
        <w:rPr>
          <w:b w:val="0"/>
          <w:bCs/>
          <w:color w:val="000000" w:themeColor="text1"/>
          <w:szCs w:val="24"/>
        </w:rPr>
      </w:pPr>
      <w:r w:rsidRPr="00EA61FA">
        <w:rPr>
          <w:b w:val="0"/>
          <w:bCs/>
          <w:color w:val="000000" w:themeColor="text1"/>
          <w:szCs w:val="24"/>
        </w:rPr>
        <w:t xml:space="preserve">HR and Payroll </w:t>
      </w:r>
      <w:r w:rsidR="00597535" w:rsidRPr="00EA61FA">
        <w:rPr>
          <w:b w:val="0"/>
          <w:bCs/>
          <w:color w:val="000000" w:themeColor="text1"/>
          <w:szCs w:val="24"/>
        </w:rPr>
        <w:t>Subject Matter Experts</w:t>
      </w:r>
      <w:r w:rsidRPr="00EA61FA">
        <w:rPr>
          <w:b w:val="0"/>
          <w:bCs/>
          <w:color w:val="000000" w:themeColor="text1"/>
          <w:szCs w:val="24"/>
        </w:rPr>
        <w:t xml:space="preserve"> </w:t>
      </w:r>
      <w:r w:rsidR="00F34FBB" w:rsidRPr="00EA61FA">
        <w:rPr>
          <w:b w:val="0"/>
          <w:bCs/>
          <w:color w:val="000000" w:themeColor="text1"/>
          <w:szCs w:val="24"/>
        </w:rPr>
        <w:t xml:space="preserve">(agency) </w:t>
      </w:r>
      <w:r w:rsidR="00597535" w:rsidRPr="00EA61FA">
        <w:rPr>
          <w:b w:val="0"/>
          <w:bCs/>
          <w:color w:val="000000" w:themeColor="text1"/>
          <w:szCs w:val="24"/>
        </w:rPr>
        <w:t xml:space="preserve">to help define </w:t>
      </w:r>
      <w:r w:rsidR="007370EA" w:rsidRPr="00EA61FA">
        <w:rPr>
          <w:b w:val="0"/>
          <w:bCs/>
          <w:color w:val="000000" w:themeColor="text1"/>
          <w:szCs w:val="24"/>
        </w:rPr>
        <w:t xml:space="preserve">and implement </w:t>
      </w:r>
      <w:r w:rsidR="00597535" w:rsidRPr="00EA61FA">
        <w:rPr>
          <w:b w:val="0"/>
          <w:bCs/>
          <w:color w:val="000000" w:themeColor="text1"/>
          <w:szCs w:val="24"/>
        </w:rPr>
        <w:t>best practise</w:t>
      </w:r>
      <w:r w:rsidR="007370EA" w:rsidRPr="00EA61FA">
        <w:rPr>
          <w:b w:val="0"/>
          <w:bCs/>
          <w:color w:val="000000" w:themeColor="text1"/>
          <w:szCs w:val="24"/>
        </w:rPr>
        <w:t xml:space="preserve"> process configuration, and backfill existing staff who will </w:t>
      </w:r>
      <w:r w:rsidR="00D321ED">
        <w:rPr>
          <w:b w:val="0"/>
          <w:bCs/>
          <w:color w:val="000000" w:themeColor="text1"/>
          <w:szCs w:val="24"/>
        </w:rPr>
        <w:t xml:space="preserve">have a project role in </w:t>
      </w:r>
      <w:r w:rsidR="007370EA" w:rsidRPr="00EA61FA">
        <w:rPr>
          <w:b w:val="0"/>
          <w:bCs/>
          <w:color w:val="000000" w:themeColor="text1"/>
          <w:szCs w:val="24"/>
        </w:rPr>
        <w:t xml:space="preserve">User Acceptance Testing and </w:t>
      </w:r>
      <w:r w:rsidR="00EA61FA" w:rsidRPr="00EA61FA">
        <w:rPr>
          <w:b w:val="0"/>
          <w:bCs/>
          <w:color w:val="000000" w:themeColor="text1"/>
          <w:szCs w:val="24"/>
        </w:rPr>
        <w:t>d</w:t>
      </w:r>
      <w:r w:rsidR="00B84B98" w:rsidRPr="00EA61FA">
        <w:rPr>
          <w:b w:val="0"/>
          <w:bCs/>
          <w:color w:val="000000" w:themeColor="text1"/>
          <w:szCs w:val="24"/>
        </w:rPr>
        <w:t>ata migration/</w:t>
      </w:r>
      <w:r w:rsidR="006C1A35" w:rsidRPr="00EA61FA">
        <w:rPr>
          <w:b w:val="0"/>
          <w:bCs/>
          <w:color w:val="000000" w:themeColor="text1"/>
          <w:szCs w:val="24"/>
        </w:rPr>
        <w:t xml:space="preserve">payroll </w:t>
      </w:r>
      <w:r w:rsidR="00B84B98" w:rsidRPr="00EA61FA">
        <w:rPr>
          <w:b w:val="0"/>
          <w:bCs/>
          <w:color w:val="000000" w:themeColor="text1"/>
          <w:szCs w:val="24"/>
        </w:rPr>
        <w:t xml:space="preserve">parallel run </w:t>
      </w:r>
      <w:r w:rsidR="00D321ED">
        <w:rPr>
          <w:b w:val="0"/>
          <w:bCs/>
          <w:color w:val="000000" w:themeColor="text1"/>
          <w:szCs w:val="24"/>
        </w:rPr>
        <w:t>data validation</w:t>
      </w:r>
    </w:p>
    <w:p w14:paraId="6197B72C" w14:textId="565734AB" w:rsidR="00EA61FA" w:rsidRDefault="00E81E8A" w:rsidP="00EA61FA">
      <w:pPr>
        <w:pStyle w:val="ListParagraph"/>
        <w:numPr>
          <w:ilvl w:val="0"/>
          <w:numId w:val="48"/>
        </w:numPr>
        <w:rPr>
          <w:color w:val="000000" w:themeColor="text1"/>
        </w:rPr>
      </w:pPr>
      <w:r>
        <w:rPr>
          <w:color w:val="000000" w:themeColor="text1"/>
        </w:rPr>
        <w:t>Business Analyst, d</w:t>
      </w:r>
      <w:r w:rsidR="00762372">
        <w:rPr>
          <w:color w:val="000000" w:themeColor="text1"/>
        </w:rPr>
        <w:t xml:space="preserve">ata </w:t>
      </w:r>
      <w:r>
        <w:rPr>
          <w:color w:val="000000" w:themeColor="text1"/>
        </w:rPr>
        <w:t xml:space="preserve">migration </w:t>
      </w:r>
      <w:r w:rsidR="00762372">
        <w:rPr>
          <w:color w:val="000000" w:themeColor="text1"/>
        </w:rPr>
        <w:t xml:space="preserve">and </w:t>
      </w:r>
      <w:r>
        <w:rPr>
          <w:color w:val="000000" w:themeColor="text1"/>
        </w:rPr>
        <w:t xml:space="preserve">interface development resources </w:t>
      </w:r>
      <w:r w:rsidR="005A50EA">
        <w:rPr>
          <w:color w:val="000000" w:themeColor="text1"/>
        </w:rPr>
        <w:t xml:space="preserve">(offshore), procured through </w:t>
      </w:r>
      <w:proofErr w:type="spellStart"/>
      <w:r w:rsidR="00972650">
        <w:rPr>
          <w:color w:val="000000" w:themeColor="text1"/>
        </w:rPr>
        <w:t>HCL</w:t>
      </w:r>
      <w:r w:rsidR="00F30BF7">
        <w:rPr>
          <w:color w:val="000000" w:themeColor="text1"/>
        </w:rPr>
        <w:t>Tech</w:t>
      </w:r>
      <w:proofErr w:type="spellEnd"/>
      <w:r w:rsidR="005A50EA">
        <w:rPr>
          <w:color w:val="000000" w:themeColor="text1"/>
        </w:rPr>
        <w:t xml:space="preserve">, our existing Dynamics </w:t>
      </w:r>
      <w:r w:rsidR="00F30BF7">
        <w:rPr>
          <w:color w:val="000000" w:themeColor="text1"/>
        </w:rPr>
        <w:t xml:space="preserve">support </w:t>
      </w:r>
      <w:r w:rsidR="005A50EA">
        <w:rPr>
          <w:color w:val="000000" w:themeColor="text1"/>
        </w:rPr>
        <w:t>partners</w:t>
      </w:r>
    </w:p>
    <w:p w14:paraId="74394A73" w14:textId="486341E3" w:rsidR="00530DEE" w:rsidRDefault="00033B3F" w:rsidP="00EA61FA">
      <w:pPr>
        <w:pStyle w:val="ListParagraph"/>
        <w:numPr>
          <w:ilvl w:val="0"/>
          <w:numId w:val="48"/>
        </w:numPr>
        <w:rPr>
          <w:color w:val="000000" w:themeColor="text1"/>
        </w:rPr>
      </w:pPr>
      <w:r>
        <w:rPr>
          <w:color w:val="000000" w:themeColor="text1"/>
        </w:rPr>
        <w:t xml:space="preserve">Dynamics </w:t>
      </w:r>
      <w:r w:rsidR="00530DEE">
        <w:rPr>
          <w:color w:val="000000" w:themeColor="text1"/>
        </w:rPr>
        <w:t xml:space="preserve">HR Functional Lead, </w:t>
      </w:r>
      <w:r>
        <w:rPr>
          <w:color w:val="000000" w:themeColor="text1"/>
        </w:rPr>
        <w:t xml:space="preserve">likely also from </w:t>
      </w:r>
      <w:proofErr w:type="spellStart"/>
      <w:r>
        <w:rPr>
          <w:color w:val="000000" w:themeColor="text1"/>
        </w:rPr>
        <w:t>HCLTech</w:t>
      </w:r>
      <w:proofErr w:type="spellEnd"/>
      <w:r>
        <w:rPr>
          <w:color w:val="000000" w:themeColor="text1"/>
        </w:rPr>
        <w:t xml:space="preserve">, </w:t>
      </w:r>
      <w:r w:rsidR="00530DEE">
        <w:rPr>
          <w:color w:val="000000" w:themeColor="text1"/>
        </w:rPr>
        <w:t xml:space="preserve">to </w:t>
      </w:r>
      <w:r>
        <w:rPr>
          <w:color w:val="000000" w:themeColor="text1"/>
        </w:rPr>
        <w:t xml:space="preserve">work with HR to define and implement </w:t>
      </w:r>
      <w:r w:rsidR="00530DEE">
        <w:rPr>
          <w:color w:val="000000" w:themeColor="text1"/>
        </w:rPr>
        <w:t xml:space="preserve">the </w:t>
      </w:r>
      <w:r w:rsidR="00AB3C74">
        <w:rPr>
          <w:color w:val="000000" w:themeColor="text1"/>
        </w:rPr>
        <w:t>improvement</w:t>
      </w:r>
      <w:r>
        <w:rPr>
          <w:color w:val="000000" w:themeColor="text1"/>
        </w:rPr>
        <w:t>s to the HR system including appraisal, case management, data and insight</w:t>
      </w:r>
    </w:p>
    <w:p w14:paraId="4C78E267" w14:textId="30DCF2F8" w:rsidR="00033B3F" w:rsidRDefault="00033B3F" w:rsidP="00EA61FA">
      <w:pPr>
        <w:pStyle w:val="ListParagraph"/>
        <w:numPr>
          <w:ilvl w:val="0"/>
          <w:numId w:val="48"/>
        </w:numPr>
        <w:rPr>
          <w:color w:val="000000" w:themeColor="text1"/>
        </w:rPr>
      </w:pPr>
      <w:r>
        <w:rPr>
          <w:color w:val="000000" w:themeColor="text1"/>
        </w:rPr>
        <w:t xml:space="preserve">Various additional </w:t>
      </w:r>
      <w:r w:rsidR="000565B9">
        <w:rPr>
          <w:color w:val="000000" w:themeColor="text1"/>
        </w:rPr>
        <w:t>require</w:t>
      </w:r>
      <w:r>
        <w:rPr>
          <w:color w:val="000000" w:themeColor="text1"/>
        </w:rPr>
        <w:t>ments for support</w:t>
      </w:r>
      <w:r w:rsidR="000565B9">
        <w:rPr>
          <w:color w:val="000000" w:themeColor="text1"/>
        </w:rPr>
        <w:t xml:space="preserve"> from Loki (for </w:t>
      </w:r>
      <w:r>
        <w:rPr>
          <w:color w:val="000000" w:themeColor="text1"/>
        </w:rPr>
        <w:t xml:space="preserve">legacy </w:t>
      </w:r>
      <w:r w:rsidR="000565B9">
        <w:rPr>
          <w:color w:val="000000" w:themeColor="text1"/>
        </w:rPr>
        <w:t xml:space="preserve">data extract and </w:t>
      </w:r>
      <w:r>
        <w:rPr>
          <w:color w:val="000000" w:themeColor="text1"/>
        </w:rPr>
        <w:t>testing</w:t>
      </w:r>
      <w:r w:rsidR="000565B9">
        <w:rPr>
          <w:color w:val="000000" w:themeColor="text1"/>
        </w:rPr>
        <w:t xml:space="preserve">), </w:t>
      </w:r>
      <w:r w:rsidR="00396019">
        <w:rPr>
          <w:color w:val="000000" w:themeColor="text1"/>
        </w:rPr>
        <w:t>Digital (</w:t>
      </w:r>
      <w:r>
        <w:rPr>
          <w:color w:val="000000" w:themeColor="text1"/>
        </w:rPr>
        <w:t>recharge for in house BAs), etc</w:t>
      </w:r>
    </w:p>
    <w:p w14:paraId="0E783258" w14:textId="77777777" w:rsidR="00033B3F" w:rsidRDefault="00033B3F" w:rsidP="00033B3F">
      <w:pPr>
        <w:rPr>
          <w:color w:val="000000" w:themeColor="text1"/>
        </w:rPr>
      </w:pPr>
    </w:p>
    <w:p w14:paraId="7EEACF16" w14:textId="0517091B" w:rsidR="00033B3F" w:rsidRDefault="00033B3F" w:rsidP="00033B3F">
      <w:pPr>
        <w:rPr>
          <w:color w:val="000000" w:themeColor="text1"/>
        </w:rPr>
      </w:pPr>
      <w:r w:rsidRPr="1CB6C805">
        <w:rPr>
          <w:color w:val="000000" w:themeColor="text1"/>
        </w:rPr>
        <w:t>Given the risk</w:t>
      </w:r>
      <w:r w:rsidR="00E562C2" w:rsidRPr="1CB6C805">
        <w:rPr>
          <w:color w:val="000000" w:themeColor="text1"/>
        </w:rPr>
        <w:t>s</w:t>
      </w:r>
      <w:r w:rsidRPr="1CB6C805">
        <w:rPr>
          <w:color w:val="000000" w:themeColor="text1"/>
        </w:rPr>
        <w:t xml:space="preserve"> associated with tight timelines</w:t>
      </w:r>
      <w:r w:rsidR="00E562C2" w:rsidRPr="1CB6C805">
        <w:rPr>
          <w:color w:val="000000" w:themeColor="text1"/>
        </w:rPr>
        <w:t xml:space="preserve"> and our hard deadline</w:t>
      </w:r>
      <w:r w:rsidRPr="1CB6C805">
        <w:rPr>
          <w:color w:val="000000" w:themeColor="text1"/>
        </w:rPr>
        <w:t xml:space="preserve">, </w:t>
      </w:r>
      <w:r w:rsidR="0022312A" w:rsidRPr="1CB6C805">
        <w:rPr>
          <w:color w:val="000000" w:themeColor="text1"/>
        </w:rPr>
        <w:t xml:space="preserve">a further 20% contingency has been added to the resource estimate </w:t>
      </w:r>
      <w:r w:rsidR="008C01B7" w:rsidRPr="1CB6C805">
        <w:rPr>
          <w:color w:val="000000" w:themeColor="text1"/>
        </w:rPr>
        <w:t xml:space="preserve">for </w:t>
      </w:r>
      <w:r w:rsidR="0022312A" w:rsidRPr="1CB6C805">
        <w:rPr>
          <w:color w:val="000000" w:themeColor="text1"/>
        </w:rPr>
        <w:t xml:space="preserve">these </w:t>
      </w:r>
      <w:r w:rsidR="008C01B7" w:rsidRPr="1CB6C805">
        <w:rPr>
          <w:color w:val="000000" w:themeColor="text1"/>
        </w:rPr>
        <w:t>clien</w:t>
      </w:r>
      <w:r w:rsidR="6FDAFDC0" w:rsidRPr="1CB6C805">
        <w:rPr>
          <w:color w:val="000000" w:themeColor="text1"/>
        </w:rPr>
        <w:t>t-</w:t>
      </w:r>
      <w:r w:rsidR="008C01B7" w:rsidRPr="1CB6C805">
        <w:rPr>
          <w:color w:val="000000" w:themeColor="text1"/>
        </w:rPr>
        <w:t xml:space="preserve">side </w:t>
      </w:r>
      <w:r w:rsidR="0022312A" w:rsidRPr="1CB6C805">
        <w:rPr>
          <w:color w:val="000000" w:themeColor="text1"/>
        </w:rPr>
        <w:t>costs</w:t>
      </w:r>
      <w:r w:rsidR="008C01B7" w:rsidRPr="1CB6C805">
        <w:rPr>
          <w:color w:val="000000" w:themeColor="text1"/>
        </w:rPr>
        <w:t xml:space="preserve">, </w:t>
      </w:r>
      <w:r w:rsidR="00407705">
        <w:rPr>
          <w:color w:val="000000" w:themeColor="text1"/>
        </w:rPr>
        <w:t>in addition to a wider 10% contingency allowance for the project as a whole</w:t>
      </w:r>
      <w:r w:rsidR="008C01B7" w:rsidRPr="1CB6C805">
        <w:rPr>
          <w:color w:val="000000" w:themeColor="text1"/>
        </w:rPr>
        <w:t>.</w:t>
      </w:r>
      <w:r w:rsidR="00E562C2" w:rsidRPr="1CB6C805">
        <w:rPr>
          <w:color w:val="000000" w:themeColor="text1"/>
        </w:rPr>
        <w:t xml:space="preserve"> </w:t>
      </w:r>
    </w:p>
    <w:p w14:paraId="69AC600B" w14:textId="77777777" w:rsidR="008C01B7" w:rsidRDefault="008C01B7" w:rsidP="00033B3F">
      <w:pPr>
        <w:rPr>
          <w:color w:val="000000" w:themeColor="text1"/>
        </w:rPr>
      </w:pPr>
    </w:p>
    <w:p w14:paraId="491F2D71" w14:textId="77777777" w:rsidR="00EA61FA" w:rsidRPr="00EA61FA" w:rsidRDefault="00EA61FA" w:rsidP="00EA61FA"/>
    <w:p w14:paraId="2C76F83C" w14:textId="77777777" w:rsidR="0086525B" w:rsidRDefault="0086525B" w:rsidP="0054590F">
      <w:pPr>
        <w:pStyle w:val="Heading4"/>
        <w:rPr>
          <w:color w:val="0000FF"/>
          <w:szCs w:val="24"/>
        </w:rPr>
      </w:pPr>
    </w:p>
    <w:p w14:paraId="211340B3" w14:textId="01A184F9" w:rsidR="00333FAA" w:rsidRPr="00C079D5" w:rsidRDefault="00333FAA" w:rsidP="0054590F">
      <w:pPr>
        <w:pStyle w:val="Heading4"/>
        <w:rPr>
          <w:color w:val="000000" w:themeColor="text1"/>
          <w:szCs w:val="24"/>
        </w:rPr>
      </w:pPr>
      <w:r w:rsidRPr="00C079D5">
        <w:rPr>
          <w:color w:val="000000" w:themeColor="text1"/>
          <w:szCs w:val="24"/>
        </w:rPr>
        <w:t xml:space="preserve">Staffing/workforce </w:t>
      </w:r>
    </w:p>
    <w:p w14:paraId="2FC16213" w14:textId="3508F4D6" w:rsidR="0086525B" w:rsidRPr="00F94904" w:rsidRDefault="00C079D5" w:rsidP="001472A8">
      <w:pPr>
        <w:spacing w:before="240"/>
        <w:rPr>
          <w:bCs/>
          <w:szCs w:val="24"/>
        </w:rPr>
      </w:pPr>
      <w:r>
        <w:rPr>
          <w:bCs/>
          <w:szCs w:val="24"/>
        </w:rPr>
        <w:t xml:space="preserve">The recently restructured </w:t>
      </w:r>
      <w:r w:rsidR="00C1240D">
        <w:rPr>
          <w:bCs/>
          <w:szCs w:val="24"/>
        </w:rPr>
        <w:t xml:space="preserve">in-house </w:t>
      </w:r>
      <w:r>
        <w:rPr>
          <w:bCs/>
          <w:szCs w:val="24"/>
        </w:rPr>
        <w:t xml:space="preserve">Dynamics team will lead on </w:t>
      </w:r>
      <w:r w:rsidR="00C1240D">
        <w:rPr>
          <w:bCs/>
          <w:szCs w:val="24"/>
        </w:rPr>
        <w:t xml:space="preserve">the implementation of this </w:t>
      </w:r>
      <w:r w:rsidR="00ED50A1">
        <w:rPr>
          <w:bCs/>
          <w:szCs w:val="24"/>
        </w:rPr>
        <w:t>solution, working alongside the new vendor and HCL.  The team has established a credible track record of success</w:t>
      </w:r>
      <w:r w:rsidR="001A7F46">
        <w:rPr>
          <w:bCs/>
          <w:szCs w:val="24"/>
        </w:rPr>
        <w:t>ful project delivery</w:t>
      </w:r>
      <w:r w:rsidR="00ED50A1">
        <w:rPr>
          <w:bCs/>
          <w:szCs w:val="24"/>
        </w:rPr>
        <w:t xml:space="preserve">, including the recent HR merge and other </w:t>
      </w:r>
      <w:r w:rsidR="001A7F46">
        <w:rPr>
          <w:bCs/>
          <w:szCs w:val="24"/>
        </w:rPr>
        <w:t xml:space="preserve">improvements, </w:t>
      </w:r>
      <w:r w:rsidR="00ED50A1">
        <w:rPr>
          <w:bCs/>
          <w:szCs w:val="24"/>
        </w:rPr>
        <w:t xml:space="preserve">version upgrades </w:t>
      </w:r>
      <w:r w:rsidR="001A7F46">
        <w:rPr>
          <w:bCs/>
          <w:szCs w:val="24"/>
        </w:rPr>
        <w:t>etc.  New roles in the new structure, currently vacant and being recruited, will be critical to the delivery of the HR improvements (Option 2), especially the BI developer and lead developer.</w:t>
      </w:r>
    </w:p>
    <w:p w14:paraId="58E9C96D" w14:textId="77777777" w:rsidR="00F94904" w:rsidRDefault="00F94904" w:rsidP="001472A8">
      <w:pPr>
        <w:spacing w:before="240"/>
        <w:rPr>
          <w:b/>
          <w:szCs w:val="24"/>
        </w:rPr>
      </w:pPr>
    </w:p>
    <w:p w14:paraId="7AA5D530" w14:textId="10A1F1AE" w:rsidR="00307F76" w:rsidRPr="00F06E4E" w:rsidRDefault="00307F76" w:rsidP="001472A8">
      <w:pPr>
        <w:spacing w:before="240"/>
        <w:rPr>
          <w:b/>
          <w:szCs w:val="24"/>
        </w:rPr>
      </w:pPr>
      <w:r w:rsidRPr="00F06E4E">
        <w:rPr>
          <w:b/>
          <w:szCs w:val="24"/>
        </w:rPr>
        <w:t xml:space="preserve">Ward Councillors’ comments </w:t>
      </w:r>
    </w:p>
    <w:p w14:paraId="46F07B30" w14:textId="77777777" w:rsidR="00955421" w:rsidRDefault="00955421" w:rsidP="0054590F">
      <w:pPr>
        <w:rPr>
          <w:b/>
        </w:rPr>
      </w:pPr>
    </w:p>
    <w:p w14:paraId="4AC46029" w14:textId="77777777" w:rsidR="0086525B" w:rsidRPr="00870D80" w:rsidRDefault="0086525B" w:rsidP="0086525B">
      <w:pPr>
        <w:rPr>
          <w:color w:val="000000" w:themeColor="text1"/>
        </w:rPr>
      </w:pPr>
      <w:r w:rsidRPr="00870D80">
        <w:rPr>
          <w:color w:val="000000" w:themeColor="text1"/>
        </w:rPr>
        <w:t>N/A</w:t>
      </w:r>
    </w:p>
    <w:p w14:paraId="27282947" w14:textId="77777777" w:rsidR="0086525B" w:rsidRDefault="0086525B" w:rsidP="0054590F">
      <w:pPr>
        <w:rPr>
          <w:b/>
        </w:rPr>
      </w:pPr>
    </w:p>
    <w:p w14:paraId="506CF816" w14:textId="77777777" w:rsidR="0086525B" w:rsidRPr="00307F76" w:rsidRDefault="0086525B" w:rsidP="0054590F">
      <w:pPr>
        <w:rPr>
          <w:b/>
        </w:rPr>
      </w:pPr>
    </w:p>
    <w:p w14:paraId="12B2B7E2" w14:textId="77777777" w:rsidR="00333FAA" w:rsidRPr="00870D80" w:rsidRDefault="00333FAA" w:rsidP="0054590F">
      <w:pPr>
        <w:pStyle w:val="Heading4"/>
        <w:tabs>
          <w:tab w:val="left" w:pos="3600"/>
        </w:tabs>
        <w:rPr>
          <w:color w:val="000000" w:themeColor="text1"/>
          <w:szCs w:val="24"/>
        </w:rPr>
      </w:pPr>
      <w:r w:rsidRPr="00870D80">
        <w:rPr>
          <w:color w:val="000000" w:themeColor="text1"/>
          <w:szCs w:val="24"/>
        </w:rPr>
        <w:t>Performance Issues</w:t>
      </w:r>
    </w:p>
    <w:p w14:paraId="0CDAFD1F" w14:textId="77777777" w:rsidR="00714BEE" w:rsidRPr="00870D80" w:rsidRDefault="00714BEE" w:rsidP="001C7E35">
      <w:pPr>
        <w:tabs>
          <w:tab w:val="left" w:pos="7245"/>
        </w:tabs>
        <w:rPr>
          <w:color w:val="000000" w:themeColor="text1"/>
        </w:rPr>
      </w:pPr>
    </w:p>
    <w:p w14:paraId="09B6C3DC" w14:textId="77777777" w:rsidR="00870D80" w:rsidRPr="00870D80" w:rsidRDefault="00870D80" w:rsidP="00870D80">
      <w:pPr>
        <w:rPr>
          <w:color w:val="000000" w:themeColor="text1"/>
        </w:rPr>
      </w:pPr>
      <w:r w:rsidRPr="00870D80">
        <w:rPr>
          <w:color w:val="000000" w:themeColor="text1"/>
        </w:rPr>
        <w:t>N/A</w:t>
      </w:r>
    </w:p>
    <w:p w14:paraId="1892CE0F" w14:textId="77777777" w:rsidR="00870D80" w:rsidRPr="00870D80" w:rsidRDefault="00870D80" w:rsidP="001C7E35">
      <w:pPr>
        <w:tabs>
          <w:tab w:val="left" w:pos="7245"/>
        </w:tabs>
        <w:rPr>
          <w:i/>
          <w:color w:val="000000" w:themeColor="text1"/>
        </w:rPr>
      </w:pPr>
    </w:p>
    <w:p w14:paraId="482D5093" w14:textId="77777777" w:rsidR="00333FAA" w:rsidRPr="00870D80" w:rsidRDefault="00333FAA" w:rsidP="0054590F">
      <w:pPr>
        <w:pStyle w:val="Heading4"/>
        <w:rPr>
          <w:color w:val="000000" w:themeColor="text1"/>
          <w:szCs w:val="24"/>
        </w:rPr>
      </w:pPr>
      <w:r w:rsidRPr="00870D80">
        <w:rPr>
          <w:color w:val="000000" w:themeColor="text1"/>
          <w:szCs w:val="24"/>
        </w:rPr>
        <w:t>Environmental Implications</w:t>
      </w:r>
    </w:p>
    <w:p w14:paraId="725E999E" w14:textId="5CB1BD69" w:rsidR="000929A6" w:rsidRPr="00870D80" w:rsidRDefault="000929A6" w:rsidP="001472A8">
      <w:pPr>
        <w:rPr>
          <w:color w:val="000000" w:themeColor="text1"/>
        </w:rPr>
      </w:pPr>
    </w:p>
    <w:p w14:paraId="69C259EF" w14:textId="1FF3615B" w:rsidR="001B7477" w:rsidRPr="00870D80" w:rsidRDefault="001B7477" w:rsidP="001472A8">
      <w:pPr>
        <w:rPr>
          <w:color w:val="000000" w:themeColor="text1"/>
        </w:rPr>
      </w:pPr>
      <w:r w:rsidRPr="00870D80">
        <w:rPr>
          <w:color w:val="000000" w:themeColor="text1"/>
        </w:rPr>
        <w:t>N/A</w:t>
      </w:r>
    </w:p>
    <w:p w14:paraId="0013C17B" w14:textId="77777777" w:rsidR="001B7477" w:rsidRPr="00870D80" w:rsidRDefault="001B7477" w:rsidP="001472A8">
      <w:pPr>
        <w:rPr>
          <w:iCs/>
          <w:color w:val="000000" w:themeColor="text1"/>
        </w:rPr>
      </w:pPr>
    </w:p>
    <w:p w14:paraId="31409836" w14:textId="77777777" w:rsidR="002A3FEF" w:rsidRPr="00870D80" w:rsidRDefault="002A3FEF" w:rsidP="002A3FEF">
      <w:pPr>
        <w:pStyle w:val="Heading4"/>
        <w:rPr>
          <w:color w:val="000000" w:themeColor="text1"/>
          <w:szCs w:val="24"/>
        </w:rPr>
      </w:pPr>
      <w:r w:rsidRPr="00870D80">
        <w:rPr>
          <w:color w:val="000000" w:themeColor="text1"/>
          <w:szCs w:val="24"/>
        </w:rPr>
        <w:t>Dat</w:t>
      </w:r>
      <w:r w:rsidR="00DE72CF" w:rsidRPr="00870D80">
        <w:rPr>
          <w:color w:val="000000" w:themeColor="text1"/>
          <w:szCs w:val="24"/>
        </w:rPr>
        <w:t>a</w:t>
      </w:r>
      <w:r w:rsidRPr="00870D80">
        <w:rPr>
          <w:color w:val="000000" w:themeColor="text1"/>
          <w:szCs w:val="24"/>
        </w:rPr>
        <w:t xml:space="preserve"> Protection Implications</w:t>
      </w:r>
    </w:p>
    <w:p w14:paraId="40457CCD" w14:textId="77777777" w:rsidR="001B7477" w:rsidRPr="00870D80" w:rsidRDefault="001B7477" w:rsidP="000021A1">
      <w:pPr>
        <w:rPr>
          <w:color w:val="000000" w:themeColor="text1"/>
        </w:rPr>
      </w:pPr>
    </w:p>
    <w:p w14:paraId="7D7AE9FD" w14:textId="3CA926E2" w:rsidR="000021A1" w:rsidRDefault="000021A1" w:rsidP="000021A1">
      <w:r>
        <w:lastRenderedPageBreak/>
        <w:t>Comprehensive requirements have been included in the specification to ensure any new supplier is GDPR compliant, and robust data protection provisions will be included in the contract.</w:t>
      </w:r>
    </w:p>
    <w:p w14:paraId="6F6F98ED" w14:textId="77777777" w:rsidR="000021A1" w:rsidRDefault="000021A1" w:rsidP="000021A1"/>
    <w:p w14:paraId="274AAC6B" w14:textId="77777777" w:rsidR="000021A1" w:rsidRPr="00A30B49" w:rsidRDefault="000021A1" w:rsidP="000021A1">
      <w:r w:rsidRPr="00A30B49">
        <w:t xml:space="preserve">A Full Data Protection Impact Assessment (DPIA) will be carried out with the new service provider. </w:t>
      </w:r>
    </w:p>
    <w:p w14:paraId="75284416" w14:textId="1002A45A" w:rsidR="00A81E19" w:rsidRDefault="00A81E19" w:rsidP="00A1211C">
      <w:pPr>
        <w:pStyle w:val="Heading3"/>
        <w:spacing w:before="480" w:after="240"/>
      </w:pPr>
      <w:r>
        <w:t>Risk Management Implications</w:t>
      </w:r>
    </w:p>
    <w:p w14:paraId="0802630C" w14:textId="77777777" w:rsidR="00B203C4" w:rsidRPr="00A30B49" w:rsidRDefault="00B203C4" w:rsidP="00B203C4">
      <w:pPr>
        <w:tabs>
          <w:tab w:val="left" w:pos="5610"/>
        </w:tabs>
        <w:ind w:right="81"/>
      </w:pPr>
      <w:bookmarkStart w:id="2" w:name="_Hlk60923477"/>
      <w:bookmarkStart w:id="3" w:name="_Hlk60922991"/>
      <w:bookmarkStart w:id="4" w:name="_Hlk60923939"/>
      <w:r>
        <w:rPr>
          <w:rFonts w:cs="Arial"/>
          <w:szCs w:val="24"/>
          <w:lang w:val="en-US"/>
        </w:rPr>
        <w:t xml:space="preserve">Risks included on corporate or directorate risk register? </w:t>
      </w:r>
      <w:r w:rsidRPr="00A30B49">
        <w:rPr>
          <w:rFonts w:cs="Arial"/>
          <w:b/>
          <w:bCs/>
          <w:szCs w:val="24"/>
          <w:lang w:val="en-US"/>
        </w:rPr>
        <w:t xml:space="preserve">No </w:t>
      </w:r>
    </w:p>
    <w:p w14:paraId="5E9E7DA7" w14:textId="77777777" w:rsidR="00B203C4" w:rsidRPr="00D85683" w:rsidRDefault="00B203C4" w:rsidP="00B203C4">
      <w:pPr>
        <w:ind w:left="-142" w:right="141"/>
        <w:rPr>
          <w:rFonts w:cs="Arial"/>
          <w:szCs w:val="24"/>
          <w:lang w:val="en-US" w:eastAsia="en-GB"/>
        </w:rPr>
      </w:pPr>
      <w:r w:rsidRPr="00D85683">
        <w:rPr>
          <w:rFonts w:cs="Arial"/>
          <w:szCs w:val="24"/>
          <w:lang w:val="en-US" w:eastAsia="en-GB"/>
        </w:rPr>
        <w:t xml:space="preserve">  </w:t>
      </w:r>
    </w:p>
    <w:p w14:paraId="014755A6" w14:textId="77777777" w:rsidR="00B203C4" w:rsidRPr="00A30B49" w:rsidRDefault="00B203C4" w:rsidP="00B203C4">
      <w:pPr>
        <w:ind w:left="-142" w:right="141" w:firstLine="142"/>
        <w:rPr>
          <w:rFonts w:cs="Arial"/>
          <w:szCs w:val="24"/>
          <w:lang w:val="en-US" w:eastAsia="en-GB"/>
        </w:rPr>
      </w:pPr>
      <w:r w:rsidRPr="00D85683">
        <w:rPr>
          <w:rFonts w:cs="Arial"/>
          <w:szCs w:val="24"/>
          <w:lang w:val="en-US" w:eastAsia="en-GB"/>
        </w:rPr>
        <w:t xml:space="preserve">Separate risk register in place? </w:t>
      </w:r>
      <w:r w:rsidRPr="00A30B49">
        <w:rPr>
          <w:rFonts w:cs="Arial"/>
          <w:b/>
          <w:bCs/>
          <w:szCs w:val="24"/>
          <w:lang w:val="en-US" w:eastAsia="en-GB"/>
        </w:rPr>
        <w:t>Yes</w:t>
      </w:r>
    </w:p>
    <w:p w14:paraId="28AD7CF3" w14:textId="77777777" w:rsidR="00B203C4" w:rsidRPr="00D85683" w:rsidRDefault="00B203C4" w:rsidP="00B203C4">
      <w:pPr>
        <w:tabs>
          <w:tab w:val="left" w:pos="5610"/>
        </w:tabs>
        <w:ind w:left="567" w:right="81" w:hanging="567"/>
      </w:pPr>
    </w:p>
    <w:p w14:paraId="229F403C" w14:textId="77777777" w:rsidR="00B203C4" w:rsidRPr="00D85683" w:rsidRDefault="00B203C4" w:rsidP="00B203C4">
      <w:pPr>
        <w:tabs>
          <w:tab w:val="left" w:pos="5610"/>
        </w:tabs>
        <w:ind w:right="81"/>
      </w:pPr>
      <w:r w:rsidRPr="00D85683">
        <w:t xml:space="preserve">The relevant risks contained in the register are attached/summarised below. </w:t>
      </w:r>
      <w:r w:rsidRPr="00A30B49">
        <w:rPr>
          <w:rFonts w:cs="Arial"/>
          <w:b/>
          <w:bCs/>
          <w:szCs w:val="24"/>
          <w:lang w:val="en-US" w:eastAsia="en-GB"/>
        </w:rPr>
        <w:t>Yes</w:t>
      </w:r>
    </w:p>
    <w:p w14:paraId="5270077D" w14:textId="77777777" w:rsidR="00B203C4" w:rsidRDefault="00B203C4" w:rsidP="00B203C4"/>
    <w:p w14:paraId="2EDC25C2" w14:textId="77777777" w:rsidR="00B203C4" w:rsidRDefault="00B203C4" w:rsidP="00B203C4">
      <w:r>
        <w:t>The following key risks should be taken into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972"/>
        <w:gridCol w:w="3969"/>
        <w:gridCol w:w="1694"/>
      </w:tblGrid>
      <w:tr w:rsidR="00380F87" w14:paraId="1404D484" w14:textId="77777777" w:rsidTr="49B2ED9F">
        <w:trPr>
          <w:tblHead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2"/>
          <w:p w14:paraId="756F1795" w14:textId="77777777" w:rsidR="00380F87" w:rsidRDefault="00380F87">
            <w:pPr>
              <w:spacing w:line="247" w:lineRule="auto"/>
              <w:ind w:right="141"/>
              <w:rPr>
                <w:rFonts w:cs="Arial"/>
                <w:b/>
                <w:bCs/>
                <w:szCs w:val="24"/>
                <w:lang w:val="en-US" w:eastAsia="en-GB"/>
              </w:rPr>
            </w:pPr>
            <w:r>
              <w:rPr>
                <w:rFonts w:cs="Arial"/>
                <w:b/>
                <w:bCs/>
                <w:szCs w:val="24"/>
                <w:lang w:val="en-US" w:eastAsia="en-GB"/>
              </w:rPr>
              <w:t>Risk Description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pPr>
              <w:spacing w:line="247" w:lineRule="auto"/>
              <w:ind w:right="141"/>
              <w:rPr>
                <w:rFonts w:cs="Arial"/>
                <w:b/>
                <w:bCs/>
                <w:szCs w:val="24"/>
                <w:lang w:val="en-US" w:eastAsia="en-GB"/>
              </w:rPr>
            </w:pPr>
            <w:r>
              <w:rPr>
                <w:rFonts w:cs="Arial"/>
                <w:b/>
                <w:bCs/>
                <w:szCs w:val="24"/>
                <w:lang w:val="en-US" w:eastAsia="en-GB"/>
              </w:rPr>
              <w:t>Mitigations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6A372624" w:rsidR="00380F87" w:rsidRDefault="00D62DCC">
            <w:pPr>
              <w:spacing w:line="247" w:lineRule="auto"/>
              <w:ind w:right="141"/>
              <w:rPr>
                <w:rFonts w:cs="Arial"/>
                <w:szCs w:val="24"/>
                <w:lang w:val="en-US" w:eastAsia="en-GB"/>
              </w:rPr>
            </w:pPr>
            <w:r>
              <w:rPr>
                <w:rFonts w:cs="Arial"/>
                <w:szCs w:val="24"/>
                <w:lang w:val="en-US" w:eastAsia="en-GB"/>
              </w:rPr>
              <w:t xml:space="preserve">Target </w:t>
            </w:r>
            <w:r w:rsidR="00721280">
              <w:rPr>
                <w:rFonts w:cs="Arial"/>
                <w:szCs w:val="24"/>
                <w:lang w:val="en-US" w:eastAsia="en-GB"/>
              </w:rPr>
              <w:t xml:space="preserve">to </w:t>
            </w:r>
            <w:r w:rsidR="00E7765A">
              <w:rPr>
                <w:rFonts w:cs="Arial"/>
                <w:szCs w:val="24"/>
                <w:lang w:val="en-US" w:eastAsia="en-GB"/>
              </w:rPr>
              <w:t xml:space="preserve">run </w:t>
            </w:r>
            <w:r w:rsidR="002F06BF" w:rsidRPr="002F06BF">
              <w:rPr>
                <w:rFonts w:cs="Arial"/>
                <w:szCs w:val="24"/>
                <w:lang w:val="en-US" w:eastAsia="en-GB"/>
              </w:rPr>
              <w:t>Nov</w:t>
            </w:r>
            <w:r>
              <w:rPr>
                <w:rFonts w:cs="Arial"/>
                <w:szCs w:val="24"/>
                <w:lang w:val="en-US" w:eastAsia="en-GB"/>
              </w:rPr>
              <w:t>ember</w:t>
            </w:r>
            <w:r w:rsidR="002F06BF" w:rsidRPr="002F06BF">
              <w:rPr>
                <w:rFonts w:cs="Arial"/>
                <w:szCs w:val="24"/>
                <w:lang w:val="en-US" w:eastAsia="en-GB"/>
              </w:rPr>
              <w:t xml:space="preserve"> </w:t>
            </w:r>
            <w:r w:rsidR="00721280">
              <w:rPr>
                <w:rFonts w:cs="Arial"/>
                <w:szCs w:val="24"/>
                <w:lang w:val="en-US" w:eastAsia="en-GB"/>
              </w:rPr>
              <w:t xml:space="preserve">24 </w:t>
            </w:r>
            <w:r w:rsidR="00A61553">
              <w:rPr>
                <w:rFonts w:cs="Arial"/>
                <w:szCs w:val="24"/>
                <w:lang w:val="en-US" w:eastAsia="en-GB"/>
              </w:rPr>
              <w:t xml:space="preserve">payroll </w:t>
            </w:r>
            <w:r w:rsidR="00E7765A">
              <w:rPr>
                <w:rFonts w:cs="Arial"/>
                <w:szCs w:val="24"/>
                <w:lang w:val="en-US" w:eastAsia="en-GB"/>
              </w:rPr>
              <w:t xml:space="preserve">on new system </w:t>
            </w:r>
            <w:r w:rsidR="00A61553">
              <w:rPr>
                <w:rFonts w:cs="Arial"/>
                <w:szCs w:val="24"/>
                <w:lang w:val="en-US" w:eastAsia="en-GB"/>
              </w:rPr>
              <w:t xml:space="preserve">cannot </w:t>
            </w:r>
            <w:r w:rsidR="002F06BF" w:rsidRPr="002F06BF">
              <w:rPr>
                <w:rFonts w:cs="Arial"/>
                <w:szCs w:val="24"/>
                <w:lang w:val="en-US" w:eastAsia="en-GB"/>
              </w:rPr>
              <w:t xml:space="preserve">be </w:t>
            </w:r>
            <w:r w:rsidR="00E7765A">
              <w:rPr>
                <w:rFonts w:cs="Arial"/>
                <w:szCs w:val="24"/>
                <w:lang w:val="en-US" w:eastAsia="en-GB"/>
              </w:rPr>
              <w:t xml:space="preserve">met </w:t>
            </w:r>
            <w:r w:rsidR="002F06BF" w:rsidRPr="002F06BF">
              <w:rPr>
                <w:rFonts w:cs="Arial"/>
                <w:szCs w:val="24"/>
                <w:lang w:val="en-US" w:eastAsia="en-GB"/>
              </w:rPr>
              <w:t xml:space="preserve">due to </w:t>
            </w:r>
            <w:r>
              <w:rPr>
                <w:rFonts w:cs="Arial"/>
                <w:szCs w:val="24"/>
                <w:lang w:val="en-US" w:eastAsia="en-GB"/>
              </w:rPr>
              <w:t xml:space="preserve">project </w:t>
            </w:r>
            <w:r w:rsidR="002F06BF" w:rsidRPr="002F06BF">
              <w:rPr>
                <w:rFonts w:cs="Arial"/>
                <w:szCs w:val="24"/>
                <w:lang w:val="en-US" w:eastAsia="en-GB"/>
              </w:rPr>
              <w:t xml:space="preserve">delivery </w:t>
            </w:r>
            <w:r>
              <w:rPr>
                <w:rFonts w:cs="Arial"/>
                <w:szCs w:val="24"/>
                <w:lang w:val="en-US" w:eastAsia="en-GB"/>
              </w:rPr>
              <w:t>delays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7C232F" w14:textId="77777777" w:rsidR="008A2ADB" w:rsidRPr="008A2ADB" w:rsidRDefault="008A2ADB" w:rsidP="008A2ADB">
            <w:pPr>
              <w:pStyle w:val="ListParagraph"/>
              <w:numPr>
                <w:ilvl w:val="0"/>
                <w:numId w:val="46"/>
              </w:numPr>
              <w:suppressAutoHyphens/>
              <w:autoSpaceDN w:val="0"/>
              <w:spacing w:line="247" w:lineRule="auto"/>
              <w:ind w:right="141"/>
              <w:rPr>
                <w:szCs w:val="24"/>
                <w:lang w:val="en-US"/>
              </w:rPr>
            </w:pPr>
            <w:r w:rsidRPr="008A2ADB">
              <w:rPr>
                <w:szCs w:val="24"/>
                <w:lang w:val="en-US"/>
              </w:rPr>
              <w:t>Robust project risk management and governance including the close monitoring of project milestones, regular senior stakeholder &amp; member engagement to address blockers</w:t>
            </w:r>
          </w:p>
          <w:p w14:paraId="0D5E98FF" w14:textId="77777777" w:rsidR="008A2ADB" w:rsidRPr="008A2ADB" w:rsidRDefault="008A2ADB" w:rsidP="008A2ADB">
            <w:pPr>
              <w:pStyle w:val="ListParagraph"/>
              <w:numPr>
                <w:ilvl w:val="0"/>
                <w:numId w:val="46"/>
              </w:numPr>
              <w:suppressAutoHyphens/>
              <w:autoSpaceDN w:val="0"/>
              <w:spacing w:line="247" w:lineRule="auto"/>
              <w:ind w:right="141"/>
              <w:rPr>
                <w:szCs w:val="24"/>
                <w:lang w:val="en-US"/>
              </w:rPr>
            </w:pPr>
            <w:r w:rsidRPr="008A2ADB">
              <w:rPr>
                <w:szCs w:val="24"/>
                <w:lang w:val="en-US"/>
              </w:rPr>
              <w:t>20% contingency added to the resource estimate for client-side costs,</w:t>
            </w:r>
          </w:p>
          <w:p w14:paraId="07DCD158" w14:textId="012016BA" w:rsidR="00721280" w:rsidRPr="00721280" w:rsidRDefault="008A2ADB" w:rsidP="008A2ADB">
            <w:pPr>
              <w:pStyle w:val="ListParagraph"/>
              <w:numPr>
                <w:ilvl w:val="0"/>
                <w:numId w:val="46"/>
              </w:numPr>
              <w:suppressAutoHyphens/>
              <w:autoSpaceDN w:val="0"/>
              <w:spacing w:line="247" w:lineRule="auto"/>
              <w:ind w:right="141"/>
              <w:rPr>
                <w:szCs w:val="24"/>
                <w:lang w:val="en-US"/>
              </w:rPr>
            </w:pPr>
            <w:r w:rsidRPr="008A2ADB">
              <w:rPr>
                <w:szCs w:val="24"/>
                <w:lang w:val="en-US"/>
              </w:rPr>
              <w:t>Plan for and prepare worst case scenario and use the existing payroll software until Mar 25</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B970616" w14:textId="77777777" w:rsidR="00380F87" w:rsidRDefault="0EBCCC9E" w:rsidP="45DA9482">
            <w:pPr>
              <w:spacing w:line="247" w:lineRule="auto"/>
              <w:ind w:left="171" w:right="141"/>
              <w:rPr>
                <w:rFonts w:cs="Arial"/>
                <w:b/>
                <w:bCs/>
                <w:lang w:val="en-US" w:eastAsia="en-GB"/>
              </w:rPr>
            </w:pPr>
            <w:r w:rsidRPr="45DA9482">
              <w:rPr>
                <w:rFonts w:cs="Arial"/>
                <w:b/>
                <w:bCs/>
                <w:lang w:val="en-US" w:eastAsia="en-GB"/>
              </w:rPr>
              <w:t>Amber</w:t>
            </w:r>
          </w:p>
          <w:p w14:paraId="1BD16511" w14:textId="6A6A0B73" w:rsidR="00380F87" w:rsidRDefault="00380F87" w:rsidP="45DA9482">
            <w:pPr>
              <w:spacing w:line="247" w:lineRule="auto"/>
              <w:ind w:left="171" w:right="141"/>
              <w:rPr>
                <w:rFonts w:cs="Arial"/>
                <w:b/>
                <w:bCs/>
                <w:lang w:val="en-US" w:eastAsia="en-GB"/>
              </w:rPr>
            </w:pPr>
          </w:p>
        </w:tc>
      </w:tr>
      <w:tr w:rsidR="00FC2F5D" w14:paraId="6274505A"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2DA45EF5" w:rsidR="00FC2F5D" w:rsidRDefault="00FC2F5D" w:rsidP="00FC2F5D">
            <w:pPr>
              <w:spacing w:line="247" w:lineRule="auto"/>
              <w:ind w:right="141"/>
              <w:rPr>
                <w:rFonts w:cs="Arial"/>
                <w:szCs w:val="24"/>
                <w:lang w:val="en-US" w:eastAsia="en-GB"/>
              </w:rPr>
            </w:pPr>
            <w:r>
              <w:rPr>
                <w:rFonts w:cs="Arial"/>
                <w:szCs w:val="24"/>
                <w:lang w:val="en-US" w:eastAsia="en-GB"/>
              </w:rPr>
              <w:t>Harrow has insufficient SME (“Subject Matter Expert”) resource to complete project to time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1CFF7D16" w:rsidR="00FC2F5D" w:rsidRDefault="00783207"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Approve</w:t>
            </w:r>
            <w:r w:rsidR="00F363BF">
              <w:rPr>
                <w:szCs w:val="24"/>
                <w:lang w:val="en-US"/>
              </w:rPr>
              <w:t xml:space="preserve"> </w:t>
            </w:r>
            <w:r w:rsidR="00797F97">
              <w:rPr>
                <w:szCs w:val="24"/>
                <w:lang w:val="en-US"/>
              </w:rPr>
              <w:t xml:space="preserve">detailed </w:t>
            </w:r>
            <w:r>
              <w:rPr>
                <w:szCs w:val="24"/>
                <w:lang w:val="en-US"/>
              </w:rPr>
              <w:t xml:space="preserve">vendor and </w:t>
            </w:r>
            <w:r w:rsidR="00F363BF">
              <w:rPr>
                <w:szCs w:val="24"/>
                <w:lang w:val="en-US"/>
              </w:rPr>
              <w:t xml:space="preserve">Harrow Council/HCL resource plans </w:t>
            </w:r>
            <w:r w:rsidR="00573E67">
              <w:rPr>
                <w:szCs w:val="24"/>
                <w:lang w:val="en-US"/>
              </w:rPr>
              <w:t xml:space="preserve">by end </w:t>
            </w:r>
            <w:r w:rsidR="007129F4">
              <w:rPr>
                <w:szCs w:val="24"/>
                <w:lang w:val="en-US"/>
              </w:rPr>
              <w:t xml:space="preserve">Feb </w:t>
            </w:r>
            <w:r w:rsidR="00573E67">
              <w:rPr>
                <w:szCs w:val="24"/>
                <w:lang w:val="en-US"/>
              </w:rPr>
              <w:t xml:space="preserve">24, </w:t>
            </w:r>
            <w:r>
              <w:rPr>
                <w:szCs w:val="24"/>
                <w:lang w:val="en-US"/>
              </w:rPr>
              <w:t xml:space="preserve">and </w:t>
            </w:r>
            <w:r w:rsidR="00573E67">
              <w:rPr>
                <w:szCs w:val="24"/>
                <w:lang w:val="en-US"/>
              </w:rPr>
              <w:t xml:space="preserve">report on </w:t>
            </w:r>
            <w:r w:rsidR="0018078C">
              <w:rPr>
                <w:szCs w:val="24"/>
                <w:lang w:val="en-US"/>
              </w:rPr>
              <w:t xml:space="preserve">utilization </w:t>
            </w:r>
            <w:r>
              <w:rPr>
                <w:szCs w:val="24"/>
                <w:lang w:val="en-US"/>
              </w:rPr>
              <w:t>regularly through project governance</w:t>
            </w:r>
          </w:p>
          <w:p w14:paraId="79FDFF6E" w14:textId="0A711F54" w:rsidR="00FC2F5D" w:rsidRPr="00E53BBA" w:rsidRDefault="0018078C" w:rsidP="00E53BBA">
            <w:pPr>
              <w:pStyle w:val="ListParagraph"/>
              <w:numPr>
                <w:ilvl w:val="0"/>
                <w:numId w:val="46"/>
              </w:numPr>
              <w:suppressAutoHyphens/>
              <w:autoSpaceDN w:val="0"/>
              <w:spacing w:line="247" w:lineRule="auto"/>
              <w:ind w:left="171" w:right="141" w:hanging="171"/>
              <w:rPr>
                <w:szCs w:val="24"/>
                <w:lang w:val="en-US"/>
              </w:rPr>
            </w:pPr>
            <w:r>
              <w:rPr>
                <w:szCs w:val="24"/>
                <w:lang w:val="en-US"/>
              </w:rPr>
              <w:t>Add</w:t>
            </w:r>
            <w:r w:rsidR="00143AEF">
              <w:rPr>
                <w:szCs w:val="24"/>
                <w:lang w:val="en-US"/>
              </w:rPr>
              <w:t xml:space="preserve"> a further</w:t>
            </w:r>
            <w:r>
              <w:rPr>
                <w:szCs w:val="24"/>
                <w:lang w:val="en-US"/>
              </w:rPr>
              <w:t xml:space="preserve"> </w:t>
            </w:r>
            <w:r w:rsidR="00E80FBB">
              <w:rPr>
                <w:szCs w:val="24"/>
                <w:lang w:val="en-US"/>
              </w:rPr>
              <w:t>2</w:t>
            </w:r>
            <w:r w:rsidR="00143AEF">
              <w:rPr>
                <w:szCs w:val="24"/>
                <w:lang w:val="en-US"/>
              </w:rPr>
              <w:t>0</w:t>
            </w:r>
            <w:r w:rsidR="00E80FBB">
              <w:rPr>
                <w:szCs w:val="24"/>
                <w:lang w:val="en-US"/>
              </w:rPr>
              <w:t>% contingency</w:t>
            </w:r>
            <w:r w:rsidR="008E16AF">
              <w:rPr>
                <w:szCs w:val="24"/>
                <w:lang w:val="en-US"/>
              </w:rPr>
              <w:t>, as above,</w:t>
            </w:r>
            <w:r w:rsidR="00E80FBB">
              <w:rPr>
                <w:szCs w:val="24"/>
                <w:lang w:val="en-US"/>
              </w:rPr>
              <w:t xml:space="preserve"> </w:t>
            </w:r>
            <w:r>
              <w:rPr>
                <w:szCs w:val="24"/>
                <w:lang w:val="en-US"/>
              </w:rPr>
              <w:t xml:space="preserve">to the </w:t>
            </w:r>
            <w:r w:rsidR="00E80FBB">
              <w:rPr>
                <w:szCs w:val="24"/>
                <w:lang w:val="en-US"/>
              </w:rPr>
              <w:t xml:space="preserve">Harrow resource </w:t>
            </w:r>
            <w:r w:rsidR="00617B8C">
              <w:rPr>
                <w:szCs w:val="24"/>
                <w:lang w:val="en-US"/>
              </w:rPr>
              <w:t>cost estimates</w:t>
            </w:r>
            <w:r w:rsidR="00A008C1">
              <w:rPr>
                <w:szCs w:val="24"/>
                <w:lang w:val="en-US"/>
              </w:rPr>
              <w:t>, and d</w:t>
            </w:r>
            <w:r w:rsidR="00E80FBB" w:rsidRPr="0018078C">
              <w:rPr>
                <w:szCs w:val="24"/>
                <w:lang w:val="en-US"/>
              </w:rPr>
              <w:t xml:space="preserve">elegate </w:t>
            </w:r>
            <w:r w:rsidR="00617B8C" w:rsidRPr="0018078C">
              <w:rPr>
                <w:szCs w:val="24"/>
                <w:lang w:val="en-US"/>
              </w:rPr>
              <w:t xml:space="preserve">authorization of this </w:t>
            </w:r>
            <w:r w:rsidR="00E80FBB" w:rsidRPr="0018078C">
              <w:rPr>
                <w:szCs w:val="24"/>
                <w:lang w:val="en-US"/>
              </w:rPr>
              <w:t xml:space="preserve">to </w:t>
            </w:r>
            <w:r w:rsidR="00617B8C" w:rsidRPr="0018078C">
              <w:rPr>
                <w:szCs w:val="24"/>
                <w:lang w:val="en-US"/>
              </w:rPr>
              <w:t xml:space="preserve">Director of IT (in consultation with </w:t>
            </w:r>
            <w:r w:rsidR="00617B8C" w:rsidRPr="0018078C">
              <w:rPr>
                <w:rFonts w:cs="Arial"/>
              </w:rPr>
              <w:t>Cabinet Member for Performance, Communications &amp; Customer Experience</w:t>
            </w:r>
            <w:r w:rsidR="00617B8C" w:rsidRPr="0018078C">
              <w:rPr>
                <w:szCs w:val="24"/>
                <w:lang w:val="en-US"/>
              </w:rPr>
              <w:t>)</w:t>
            </w:r>
            <w:r w:rsidR="00887673">
              <w:rPr>
                <w:szCs w:val="24"/>
                <w:lang w:val="en-US"/>
              </w:rPr>
              <w:t xml:space="preserve"> until Nov 24</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13683E2" w14:textId="77777777" w:rsidR="00FC2F5D" w:rsidRDefault="52A799D8" w:rsidP="45DA9482">
            <w:pPr>
              <w:spacing w:line="247" w:lineRule="auto"/>
              <w:ind w:left="171" w:right="141"/>
              <w:rPr>
                <w:rFonts w:cs="Arial"/>
                <w:szCs w:val="24"/>
                <w:lang w:val="en-US" w:eastAsia="en-GB"/>
              </w:rPr>
            </w:pPr>
            <w:r w:rsidRPr="45DA9482">
              <w:rPr>
                <w:rFonts w:cs="Arial"/>
                <w:b/>
                <w:bCs/>
                <w:lang w:val="en-US" w:eastAsia="en-GB"/>
              </w:rPr>
              <w:t>Amber</w:t>
            </w:r>
          </w:p>
          <w:p w14:paraId="203D15A6" w14:textId="77777777" w:rsidR="00FC2F5D" w:rsidRDefault="00FC2F5D" w:rsidP="00FC2F5D">
            <w:pPr>
              <w:spacing w:line="247" w:lineRule="auto"/>
              <w:ind w:right="141"/>
              <w:rPr>
                <w:rFonts w:cs="Arial"/>
                <w:szCs w:val="24"/>
                <w:lang w:val="en-US" w:eastAsia="en-GB"/>
              </w:rPr>
            </w:pPr>
          </w:p>
        </w:tc>
      </w:tr>
      <w:tr w:rsidR="00573CE7" w14:paraId="076DE627"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E5E6D5" w14:textId="42834837" w:rsidR="00573CE7" w:rsidRPr="1CB6C805" w:rsidRDefault="00573CE7" w:rsidP="1CB6C805">
            <w:pPr>
              <w:spacing w:line="247" w:lineRule="auto"/>
              <w:ind w:right="141"/>
              <w:rPr>
                <w:rFonts w:cs="Arial"/>
                <w:lang w:val="en-US" w:eastAsia="en-GB"/>
              </w:rPr>
            </w:pPr>
            <w:r>
              <w:rPr>
                <w:rFonts w:cs="Arial"/>
                <w:lang w:val="en-US" w:eastAsia="en-GB"/>
              </w:rPr>
              <w:t xml:space="preserve">Quality </w:t>
            </w:r>
            <w:r w:rsidR="0053521F">
              <w:rPr>
                <w:rFonts w:cs="Arial"/>
                <w:lang w:val="en-US" w:eastAsia="en-GB"/>
              </w:rPr>
              <w:t xml:space="preserve">SME/Backfill </w:t>
            </w:r>
            <w:r w:rsidRPr="00573CE7">
              <w:rPr>
                <w:rFonts w:cs="Arial"/>
                <w:lang w:val="en-US" w:eastAsia="en-GB"/>
              </w:rPr>
              <w:t xml:space="preserve">personnel for the </w:t>
            </w:r>
            <w:r w:rsidRPr="00573CE7">
              <w:rPr>
                <w:rFonts w:cs="Arial"/>
                <w:lang w:val="en-US" w:eastAsia="en-GB"/>
              </w:rPr>
              <w:lastRenderedPageBreak/>
              <w:t xml:space="preserve">delivery of the project </w:t>
            </w:r>
            <w:r>
              <w:rPr>
                <w:rFonts w:cs="Arial"/>
                <w:lang w:val="en-US" w:eastAsia="en-GB"/>
              </w:rPr>
              <w:t xml:space="preserve">under </w:t>
            </w:r>
            <w:r w:rsidRPr="00573CE7">
              <w:rPr>
                <w:rFonts w:cs="Arial"/>
                <w:lang w:val="en-US" w:eastAsia="en-GB"/>
              </w:rPr>
              <w:t>Option 2 cannot be recruited to or filled</w:t>
            </w:r>
            <w:r>
              <w:rPr>
                <w:rFonts w:cs="Arial"/>
                <w:lang w:val="en-US" w:eastAsia="en-GB"/>
              </w:rPr>
              <w:t xml:space="preserve"> in time, </w:t>
            </w:r>
            <w:r w:rsidRPr="00573CE7">
              <w:rPr>
                <w:rFonts w:cs="Arial"/>
                <w:lang w:val="en-US" w:eastAsia="en-GB"/>
              </w:rPr>
              <w:t>delay</w:t>
            </w:r>
            <w:r>
              <w:rPr>
                <w:rFonts w:cs="Arial"/>
                <w:lang w:val="en-US" w:eastAsia="en-GB"/>
              </w:rPr>
              <w:t>ing the project and placing undue stress on permanent service staff</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A36378" w14:textId="77777777" w:rsidR="00573CE7" w:rsidRDefault="00A8006D"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lastRenderedPageBreak/>
              <w:t xml:space="preserve">Commence recruitment </w:t>
            </w:r>
            <w:r w:rsidR="007129F4">
              <w:rPr>
                <w:szCs w:val="24"/>
                <w:lang w:val="en-US"/>
              </w:rPr>
              <w:t xml:space="preserve">of interim/backfill resources </w:t>
            </w:r>
            <w:r>
              <w:rPr>
                <w:szCs w:val="24"/>
                <w:lang w:val="en-US"/>
              </w:rPr>
              <w:t xml:space="preserve">as </w:t>
            </w:r>
            <w:r>
              <w:rPr>
                <w:szCs w:val="24"/>
                <w:lang w:val="en-US"/>
              </w:rPr>
              <w:lastRenderedPageBreak/>
              <w:t xml:space="preserve">soon as </w:t>
            </w:r>
            <w:r w:rsidR="007129F4">
              <w:rPr>
                <w:szCs w:val="24"/>
                <w:lang w:val="en-US"/>
              </w:rPr>
              <w:t>Cabinet decision approved</w:t>
            </w:r>
          </w:p>
          <w:p w14:paraId="24E693E3" w14:textId="77777777" w:rsidR="007129F4" w:rsidRDefault="007129F4"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Include service staff in selection processes to ensure quality</w:t>
            </w:r>
          </w:p>
          <w:p w14:paraId="6CD5753C" w14:textId="0358EE72" w:rsidR="007129F4" w:rsidRDefault="007129F4"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Provide HCL with 6 weeks prior notice for mobilization of their resources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3FF6260" w14:textId="75DA5D1E" w:rsidR="00573CE7" w:rsidRDefault="0523E046" w:rsidP="45DA9482">
            <w:pPr>
              <w:spacing w:line="247" w:lineRule="auto"/>
              <w:ind w:left="171" w:right="141"/>
              <w:rPr>
                <w:rFonts w:cs="Arial"/>
                <w:b/>
                <w:bCs/>
                <w:lang w:val="en-US" w:eastAsia="en-GB"/>
              </w:rPr>
            </w:pPr>
            <w:r w:rsidRPr="45DA9482">
              <w:rPr>
                <w:rFonts w:cs="Arial"/>
                <w:b/>
                <w:bCs/>
                <w:lang w:val="en-US" w:eastAsia="en-GB"/>
              </w:rPr>
              <w:lastRenderedPageBreak/>
              <w:t>Amber</w:t>
            </w:r>
          </w:p>
        </w:tc>
      </w:tr>
      <w:tr w:rsidR="005062CC" w14:paraId="4F3E3D5B"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4C1676" w14:textId="547DFE77" w:rsidR="005062CC" w:rsidRPr="1CB6C805" w:rsidRDefault="00CB3CC6" w:rsidP="1CB6C805">
            <w:pPr>
              <w:spacing w:line="247" w:lineRule="auto"/>
              <w:ind w:right="141"/>
              <w:rPr>
                <w:rFonts w:cs="Arial"/>
                <w:lang w:val="en-US" w:eastAsia="en-GB"/>
              </w:rPr>
            </w:pPr>
            <w:r>
              <w:rPr>
                <w:rFonts w:cs="Arial"/>
                <w:lang w:val="en-US" w:eastAsia="en-GB"/>
              </w:rPr>
              <w:t xml:space="preserve">Future developments in </w:t>
            </w:r>
            <w:r w:rsidR="008663C0">
              <w:rPr>
                <w:rFonts w:cs="Arial"/>
                <w:lang w:val="en-US" w:eastAsia="en-GB"/>
              </w:rPr>
              <w:t xml:space="preserve">Microsoft Dynamics </w:t>
            </w:r>
            <w:r w:rsidR="004A7658">
              <w:rPr>
                <w:rFonts w:cs="Arial"/>
                <w:lang w:val="en-US" w:eastAsia="en-GB"/>
              </w:rPr>
              <w:t xml:space="preserve">product </w:t>
            </w:r>
            <w:r w:rsidR="008663C0">
              <w:rPr>
                <w:rFonts w:cs="Arial"/>
                <w:lang w:val="en-US" w:eastAsia="en-GB"/>
              </w:rPr>
              <w:t xml:space="preserve">strategy and </w:t>
            </w:r>
            <w:r w:rsidR="004A7658">
              <w:rPr>
                <w:rFonts w:cs="Arial"/>
                <w:lang w:val="en-US" w:eastAsia="en-GB"/>
              </w:rPr>
              <w:t xml:space="preserve">supplier ecosystem </w:t>
            </w:r>
            <w:r w:rsidR="008663C0">
              <w:rPr>
                <w:rFonts w:cs="Arial"/>
                <w:lang w:val="en-US" w:eastAsia="en-GB"/>
              </w:rPr>
              <w:t xml:space="preserve">drive </w:t>
            </w:r>
            <w:r>
              <w:rPr>
                <w:rFonts w:cs="Arial"/>
                <w:lang w:val="en-US" w:eastAsia="en-GB"/>
              </w:rPr>
              <w:t>need for further change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1EDAF8" w14:textId="77777777" w:rsidR="005062CC" w:rsidRDefault="00684743"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Strategic meeting with Microsoft Spring ‘24 to ensure Harrow HR roadmap is aligned to </w:t>
            </w:r>
            <w:r w:rsidR="009C04C5">
              <w:rPr>
                <w:szCs w:val="24"/>
                <w:lang w:val="en-US"/>
              </w:rPr>
              <w:t>product team roadmap and investment</w:t>
            </w:r>
          </w:p>
          <w:p w14:paraId="08068776" w14:textId="65EAD05C" w:rsidR="009C04C5" w:rsidRDefault="002D04A3"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Aug 25 decision re HR system </w:t>
            </w:r>
            <w:r w:rsidR="00A56FB3">
              <w:rPr>
                <w:szCs w:val="24"/>
                <w:lang w:val="en-US"/>
              </w:rPr>
              <w:t>replacement (Option 4)</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D876BC4" w14:textId="0A38787C" w:rsidR="005062CC" w:rsidRDefault="0523E046" w:rsidP="45DA9482">
            <w:pPr>
              <w:spacing w:line="247" w:lineRule="auto"/>
              <w:ind w:left="171" w:right="141"/>
              <w:rPr>
                <w:rFonts w:cs="Arial"/>
                <w:b/>
                <w:bCs/>
                <w:lang w:val="en-US" w:eastAsia="en-GB"/>
              </w:rPr>
            </w:pPr>
            <w:r w:rsidRPr="45DA9482">
              <w:rPr>
                <w:rFonts w:cs="Arial"/>
                <w:b/>
                <w:bCs/>
                <w:lang w:val="en-US" w:eastAsia="en-GB"/>
              </w:rPr>
              <w:t>Amber</w:t>
            </w:r>
          </w:p>
        </w:tc>
      </w:tr>
      <w:tr w:rsidR="0053521F" w14:paraId="6D930D6E"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351D4E" w14:textId="10DDD8B8" w:rsidR="0053521F" w:rsidRPr="1CB6C805" w:rsidRDefault="0053521F" w:rsidP="1CB6C805">
            <w:pPr>
              <w:spacing w:line="247" w:lineRule="auto"/>
              <w:ind w:right="141"/>
              <w:rPr>
                <w:rFonts w:cs="Arial"/>
                <w:lang w:val="en-US" w:eastAsia="en-GB"/>
              </w:rPr>
            </w:pPr>
            <w:r>
              <w:rPr>
                <w:rFonts w:cs="Arial"/>
                <w:lang w:val="en-US" w:eastAsia="en-GB"/>
              </w:rPr>
              <w:t xml:space="preserve">The new supplier </w:t>
            </w:r>
            <w:r w:rsidR="00D1347E">
              <w:rPr>
                <w:rFonts w:cs="Arial"/>
                <w:lang w:val="en-US" w:eastAsia="en-GB"/>
              </w:rPr>
              <w:t>has insufficient capacity to take on and successfully deliver the Harrow migration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5A7335" w14:textId="4336A0AB" w:rsidR="0053521F" w:rsidRDefault="00D1347E"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Contractual safeguards</w:t>
            </w:r>
            <w:r w:rsidR="007E7C70">
              <w:rPr>
                <w:szCs w:val="24"/>
                <w:lang w:val="en-US"/>
              </w:rPr>
              <w:t xml:space="preserve">/ </w:t>
            </w:r>
            <w:r>
              <w:rPr>
                <w:szCs w:val="24"/>
                <w:lang w:val="en-US"/>
              </w:rPr>
              <w:t>guarantees</w:t>
            </w:r>
            <w:r w:rsidR="007E7C70">
              <w:rPr>
                <w:szCs w:val="24"/>
                <w:lang w:val="en-US"/>
              </w:rPr>
              <w:t xml:space="preserve"> arising from G-Cloud procurement</w:t>
            </w:r>
          </w:p>
          <w:p w14:paraId="77B1EAA3" w14:textId="2A6EB704" w:rsidR="007E7C70" w:rsidRDefault="00351682"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Regular senior engagement with the new supplier during the implementation, to manage </w:t>
            </w:r>
            <w:r w:rsidR="00CC1837">
              <w:rPr>
                <w:szCs w:val="24"/>
                <w:lang w:val="en-US"/>
              </w:rPr>
              <w:t>resourcing issues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F835CFB" w14:textId="30B71D5A" w:rsidR="0053521F" w:rsidRDefault="00CC1837" w:rsidP="49B2ED9F">
            <w:pPr>
              <w:spacing w:line="247" w:lineRule="auto"/>
              <w:ind w:left="171" w:right="141"/>
              <w:rPr>
                <w:rFonts w:cs="Arial"/>
                <w:b/>
                <w:bCs/>
                <w:lang w:val="en-US" w:eastAsia="en-GB"/>
              </w:rPr>
            </w:pPr>
            <w:r w:rsidRPr="49B2ED9F">
              <w:rPr>
                <w:rFonts w:cs="Arial"/>
                <w:lang w:val="en-US" w:eastAsia="en-GB"/>
              </w:rPr>
              <w:t>Amber</w:t>
            </w:r>
          </w:p>
        </w:tc>
      </w:tr>
      <w:tr w:rsidR="0040520F" w14:paraId="74889569"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30850C" w14:textId="2E9BCE11" w:rsidR="0040520F" w:rsidRDefault="3429854C" w:rsidP="1CB6C805">
            <w:pPr>
              <w:spacing w:line="247" w:lineRule="auto"/>
              <w:ind w:right="141"/>
              <w:rPr>
                <w:rFonts w:cs="Arial"/>
                <w:lang w:val="en-US" w:eastAsia="en-GB"/>
              </w:rPr>
            </w:pPr>
            <w:r w:rsidRPr="1CB6C805">
              <w:rPr>
                <w:rFonts w:cs="Arial"/>
                <w:lang w:val="en-US" w:eastAsia="en-GB"/>
              </w:rPr>
              <w:t xml:space="preserve">Failure to improve perception of Dynamics HR with </w:t>
            </w:r>
            <w:r w:rsidR="594EADC3" w:rsidRPr="1CB6C805">
              <w:rPr>
                <w:rFonts w:cs="Arial"/>
                <w:lang w:val="en-US" w:eastAsia="en-GB"/>
              </w:rPr>
              <w:t>back</w:t>
            </w:r>
            <w:r w:rsidR="5C5E063E" w:rsidRPr="1CB6C805">
              <w:rPr>
                <w:rFonts w:cs="Arial"/>
                <w:lang w:val="en-US" w:eastAsia="en-GB"/>
              </w:rPr>
              <w:t>-</w:t>
            </w:r>
            <w:r w:rsidR="594EADC3" w:rsidRPr="1CB6C805">
              <w:rPr>
                <w:rFonts w:cs="Arial"/>
                <w:lang w:val="en-US" w:eastAsia="en-GB"/>
              </w:rPr>
              <w:t xml:space="preserve">office teams and </w:t>
            </w:r>
            <w:r w:rsidR="7A84454C" w:rsidRPr="1CB6C805">
              <w:rPr>
                <w:rFonts w:cs="Arial"/>
                <w:lang w:val="en-US" w:eastAsia="en-GB"/>
              </w:rPr>
              <w:t>wider managers/staff</w:t>
            </w:r>
            <w:r w:rsidRPr="1CB6C805">
              <w:rPr>
                <w:rFonts w:cs="Arial"/>
                <w:lang w:val="en-US" w:eastAsia="en-GB"/>
              </w:rPr>
              <w:t xml:space="preserve"> result</w:t>
            </w:r>
            <w:r w:rsidR="076D9F9E" w:rsidRPr="1CB6C805">
              <w:rPr>
                <w:rFonts w:cs="Arial"/>
                <w:lang w:val="en-US" w:eastAsia="en-GB"/>
              </w:rPr>
              <w:t>ing</w:t>
            </w:r>
            <w:r w:rsidRPr="1CB6C805">
              <w:rPr>
                <w:rFonts w:cs="Arial"/>
                <w:lang w:val="en-US" w:eastAsia="en-GB"/>
              </w:rPr>
              <w:t xml:space="preserve"> in continued lack of </w:t>
            </w:r>
            <w:r w:rsidR="076D9F9E" w:rsidRPr="1CB6C805">
              <w:rPr>
                <w:rFonts w:cs="Arial"/>
                <w:lang w:val="en-US" w:eastAsia="en-GB"/>
              </w:rPr>
              <w:t xml:space="preserve">adoption and self-service </w:t>
            </w:r>
            <w:r w:rsidRPr="1CB6C805">
              <w:rPr>
                <w:rFonts w:cs="Arial"/>
                <w:lang w:val="en-US" w:eastAsia="en-GB"/>
              </w:rPr>
              <w:t xml:space="preserve">process </w:t>
            </w:r>
            <w:r w:rsidR="076D9F9E" w:rsidRPr="1CB6C805">
              <w:rPr>
                <w:rFonts w:cs="Arial"/>
                <w:lang w:val="en-US" w:eastAsia="en-GB"/>
              </w:rPr>
              <w:t>compliance</w:t>
            </w:r>
            <w:r w:rsidR="3286B8B4" w:rsidRPr="1CB6C805">
              <w:rPr>
                <w:rFonts w:cs="Arial"/>
                <w:lang w:val="en-US" w:eastAsia="en-GB"/>
              </w:rPr>
              <w:t xml:space="preserve"> (</w:t>
            </w:r>
            <w:proofErr w:type="spellStart"/>
            <w:r w:rsidR="3286B8B4" w:rsidRPr="1CB6C805">
              <w:rPr>
                <w:rFonts w:cs="Arial"/>
                <w:lang w:val="en-US" w:eastAsia="en-GB"/>
              </w:rPr>
              <w:t>eg</w:t>
            </w:r>
            <w:proofErr w:type="spellEnd"/>
            <w:r w:rsidR="3286B8B4" w:rsidRPr="1CB6C805">
              <w:rPr>
                <w:rFonts w:cs="Arial"/>
                <w:lang w:val="en-US" w:eastAsia="en-GB"/>
              </w:rPr>
              <w:t xml:space="preserve"> sickness mgmt.)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7C1BD3" w14:textId="7FF98943" w:rsidR="0040520F" w:rsidRDefault="00481F4D"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Continue to </w:t>
            </w:r>
            <w:r w:rsidR="005A0157">
              <w:rPr>
                <w:szCs w:val="24"/>
                <w:lang w:val="en-US"/>
              </w:rPr>
              <w:t xml:space="preserve">involve </w:t>
            </w:r>
            <w:r>
              <w:rPr>
                <w:szCs w:val="24"/>
                <w:lang w:val="en-US"/>
              </w:rPr>
              <w:t xml:space="preserve">HR, Payroll, Pensions Payroll </w:t>
            </w:r>
            <w:r w:rsidR="00FB0F18">
              <w:rPr>
                <w:szCs w:val="24"/>
                <w:lang w:val="en-US"/>
              </w:rPr>
              <w:t xml:space="preserve">managers </w:t>
            </w:r>
            <w:r w:rsidR="005A0157">
              <w:rPr>
                <w:szCs w:val="24"/>
                <w:lang w:val="en-US"/>
              </w:rPr>
              <w:t xml:space="preserve">as key decision makers </w:t>
            </w:r>
            <w:r w:rsidR="006613AC">
              <w:rPr>
                <w:szCs w:val="24"/>
                <w:lang w:val="en-US"/>
              </w:rPr>
              <w:t xml:space="preserve">in </w:t>
            </w:r>
            <w:r w:rsidR="00160E61">
              <w:rPr>
                <w:szCs w:val="24"/>
                <w:lang w:val="en-US"/>
              </w:rPr>
              <w:t xml:space="preserve">the </w:t>
            </w:r>
            <w:r w:rsidR="006613AC">
              <w:rPr>
                <w:szCs w:val="24"/>
                <w:lang w:val="en-US"/>
              </w:rPr>
              <w:t xml:space="preserve">project </w:t>
            </w:r>
          </w:p>
          <w:p w14:paraId="4596F55A" w14:textId="77777777" w:rsidR="00223200" w:rsidRDefault="006613AC"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Reinforce </w:t>
            </w:r>
            <w:r w:rsidR="003225A2">
              <w:rPr>
                <w:szCs w:val="24"/>
                <w:lang w:val="en-US"/>
              </w:rPr>
              <w:t>p</w:t>
            </w:r>
            <w:r w:rsidR="00D4438D">
              <w:rPr>
                <w:szCs w:val="24"/>
                <w:lang w:val="en-US"/>
              </w:rPr>
              <w:t xml:space="preserve">ositive </w:t>
            </w:r>
            <w:r>
              <w:rPr>
                <w:szCs w:val="24"/>
                <w:lang w:val="en-US"/>
              </w:rPr>
              <w:t xml:space="preserve">“product owner” </w:t>
            </w:r>
            <w:r w:rsidR="00854DA2">
              <w:rPr>
                <w:szCs w:val="24"/>
                <w:lang w:val="en-US"/>
              </w:rPr>
              <w:t xml:space="preserve">responsibilities for IT and Service </w:t>
            </w:r>
            <w:r w:rsidR="00223200">
              <w:rPr>
                <w:szCs w:val="24"/>
                <w:lang w:val="en-US"/>
              </w:rPr>
              <w:t>stakeholders working with Dynamics</w:t>
            </w:r>
          </w:p>
          <w:p w14:paraId="2B6CF002" w14:textId="204E068B" w:rsidR="006613AC" w:rsidRDefault="00160E61"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Ensure </w:t>
            </w:r>
            <w:r w:rsidR="001E6F58">
              <w:rPr>
                <w:szCs w:val="24"/>
                <w:lang w:val="en-US"/>
              </w:rPr>
              <w:t xml:space="preserve">comms and </w:t>
            </w:r>
            <w:r w:rsidR="00DE5F67">
              <w:rPr>
                <w:szCs w:val="24"/>
                <w:lang w:val="en-US"/>
              </w:rPr>
              <w:t>le</w:t>
            </w:r>
            <w:r w:rsidR="001E6F58">
              <w:rPr>
                <w:szCs w:val="24"/>
                <w:lang w:val="en-US"/>
              </w:rPr>
              <w:t>ad</w:t>
            </w:r>
            <w:r w:rsidR="00DE5F67">
              <w:rPr>
                <w:szCs w:val="24"/>
                <w:lang w:val="en-US"/>
              </w:rPr>
              <w:t xml:space="preserve">ership </w:t>
            </w:r>
            <w:proofErr w:type="spellStart"/>
            <w:r>
              <w:rPr>
                <w:szCs w:val="24"/>
                <w:lang w:val="en-US"/>
              </w:rPr>
              <w:t>behaviours</w:t>
            </w:r>
            <w:proofErr w:type="spellEnd"/>
            <w:r>
              <w:rPr>
                <w:szCs w:val="24"/>
                <w:lang w:val="en-US"/>
              </w:rPr>
              <w:t xml:space="preserve"> positively reinforce engagement with </w:t>
            </w:r>
            <w:r w:rsidR="00437E57">
              <w:rPr>
                <w:szCs w:val="24"/>
                <w:lang w:val="en-US"/>
              </w:rPr>
              <w:t xml:space="preserve">and use of </w:t>
            </w:r>
            <w:r>
              <w:rPr>
                <w:szCs w:val="24"/>
                <w:lang w:val="en-US"/>
              </w:rPr>
              <w:t>the platform</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D403D9E" w14:textId="30B71D5A" w:rsidR="0040520F" w:rsidRDefault="00481F4D" w:rsidP="49B2ED9F">
            <w:pPr>
              <w:spacing w:line="247" w:lineRule="auto"/>
              <w:ind w:left="171" w:right="141"/>
              <w:rPr>
                <w:rFonts w:cs="Arial"/>
                <w:b/>
                <w:bCs/>
                <w:lang w:val="en-US" w:eastAsia="en-GB"/>
              </w:rPr>
            </w:pPr>
            <w:r w:rsidRPr="49B2ED9F">
              <w:rPr>
                <w:rFonts w:cs="Arial"/>
                <w:lang w:val="en-US" w:eastAsia="en-GB"/>
              </w:rPr>
              <w:t>Amber</w:t>
            </w:r>
          </w:p>
        </w:tc>
      </w:tr>
      <w:tr w:rsidR="0040520F" w14:paraId="031DA2F1" w14:textId="77777777" w:rsidTr="49B2ED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078D66" w14:textId="5886C218" w:rsidR="0040520F" w:rsidRDefault="00B87E40" w:rsidP="00FC2F5D">
            <w:pPr>
              <w:spacing w:line="247" w:lineRule="auto"/>
              <w:ind w:right="141"/>
              <w:rPr>
                <w:rFonts w:cs="Arial"/>
                <w:szCs w:val="24"/>
                <w:lang w:val="en-US" w:eastAsia="en-GB"/>
              </w:rPr>
            </w:pPr>
            <w:r>
              <w:rPr>
                <w:rFonts w:cs="Arial"/>
                <w:szCs w:val="24"/>
                <w:lang w:val="en-US" w:eastAsia="en-GB"/>
              </w:rPr>
              <w:t xml:space="preserve">Payroll cutover mid Financial year causes </w:t>
            </w:r>
            <w:r w:rsidR="00E82226">
              <w:rPr>
                <w:rFonts w:cs="Arial"/>
                <w:szCs w:val="24"/>
                <w:lang w:val="en-US" w:eastAsia="en-GB"/>
              </w:rPr>
              <w:t xml:space="preserve">HMRC </w:t>
            </w:r>
            <w:r>
              <w:rPr>
                <w:rFonts w:cs="Arial"/>
                <w:szCs w:val="24"/>
                <w:lang w:val="en-US" w:eastAsia="en-GB"/>
              </w:rPr>
              <w:t>complications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C858F9" w14:textId="2E416576" w:rsidR="0040520F" w:rsidRDefault="00E82226" w:rsidP="00FC2F5D">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Work with new provider to ensure </w:t>
            </w:r>
            <w:r w:rsidR="00677904">
              <w:rPr>
                <w:szCs w:val="24"/>
                <w:lang w:val="en-US"/>
              </w:rPr>
              <w:t xml:space="preserve">Harrow approach </w:t>
            </w:r>
            <w:r w:rsidR="004070F2">
              <w:rPr>
                <w:szCs w:val="24"/>
                <w:lang w:val="en-US"/>
              </w:rPr>
              <w:t>reflects all relevant successful precedents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E572383" w14:textId="30B71D5A" w:rsidR="0040520F" w:rsidRDefault="004070F2" w:rsidP="49B2ED9F">
            <w:pPr>
              <w:spacing w:line="247" w:lineRule="auto"/>
              <w:ind w:left="171" w:right="141"/>
              <w:rPr>
                <w:rFonts w:cs="Arial"/>
                <w:b/>
                <w:bCs/>
                <w:lang w:val="en-US" w:eastAsia="en-GB"/>
              </w:rPr>
            </w:pPr>
            <w:r w:rsidRPr="49B2ED9F">
              <w:rPr>
                <w:rFonts w:cs="Arial"/>
                <w:lang w:val="en-US" w:eastAsia="en-GB"/>
              </w:rPr>
              <w:t>Green</w:t>
            </w:r>
          </w:p>
          <w:p w14:paraId="290A16E9" w14:textId="06B35E0B" w:rsidR="004070F2" w:rsidRDefault="004070F2" w:rsidP="00FC2F5D">
            <w:pPr>
              <w:spacing w:line="247" w:lineRule="auto"/>
              <w:ind w:left="171" w:right="141"/>
              <w:rPr>
                <w:rFonts w:cs="Arial"/>
                <w:szCs w:val="24"/>
                <w:lang w:val="en-US" w:eastAsia="en-GB"/>
              </w:rPr>
            </w:pPr>
            <w:r>
              <w:rPr>
                <w:rFonts w:cs="Arial"/>
                <w:szCs w:val="24"/>
                <w:lang w:val="en-US" w:eastAsia="en-GB"/>
              </w:rPr>
              <w:t>(Vendors confirm no expected issues)</w:t>
            </w:r>
          </w:p>
        </w:tc>
      </w:tr>
    </w:tbl>
    <w:p w14:paraId="494BAD48" w14:textId="5FCDB546" w:rsidR="2D363C95" w:rsidRDefault="2D363C95"/>
    <w:p w14:paraId="4EA1AE38" w14:textId="77777777" w:rsidR="00105B8A" w:rsidRDefault="00105B8A"/>
    <w:bookmarkEnd w:id="3"/>
    <w:bookmarkEnd w:id="4"/>
    <w:p w14:paraId="0249BBDB" w14:textId="02A38157" w:rsidR="002A3FEF" w:rsidRDefault="002A3FEF" w:rsidP="00A1211C">
      <w:pPr>
        <w:pStyle w:val="Heading3"/>
        <w:spacing w:before="480" w:after="240"/>
      </w:pPr>
      <w:r>
        <w:t>Procurement Implications</w:t>
      </w:r>
    </w:p>
    <w:p w14:paraId="03B9CA92" w14:textId="77777777" w:rsidR="00BE6936" w:rsidRPr="00292748" w:rsidRDefault="00BE6936" w:rsidP="00BE6936">
      <w:pPr>
        <w:rPr>
          <w:b/>
        </w:rPr>
      </w:pPr>
      <w:r w:rsidRPr="00292748">
        <w:t xml:space="preserve">This procurement has been conducted under the Crown Commercial Service G Cloud 13 Framework (RM 1557.13). </w:t>
      </w:r>
    </w:p>
    <w:p w14:paraId="099CFD30" w14:textId="77777777" w:rsidR="00BE6936" w:rsidRPr="00292748" w:rsidRDefault="00BE6936" w:rsidP="00BE6936"/>
    <w:p w14:paraId="66A9CC1D" w14:textId="77777777" w:rsidR="00BE6936" w:rsidRPr="00292748" w:rsidRDefault="00BE6936" w:rsidP="00BE6936">
      <w:r w:rsidRPr="00292748">
        <w:t xml:space="preserve">This route was chosen as the G Cloud 13 Framework offers a broad selection of service offerings relevant to this requirement from suppliers ranging from small and medium enterprises to large systems integrators and consultancy firms. It provides an efficient route to market which is fully compliant with the </w:t>
      </w:r>
      <w:r w:rsidRPr="00292748">
        <w:lastRenderedPageBreak/>
        <w:t xml:space="preserve">Public Contracts Regulations 2015 and the Council’s Contract Procedure Rules. </w:t>
      </w:r>
    </w:p>
    <w:p w14:paraId="1B085EC9" w14:textId="77777777" w:rsidR="00BE6936" w:rsidRPr="00292748" w:rsidRDefault="00BE6936" w:rsidP="00BE6936"/>
    <w:p w14:paraId="2B290E3A" w14:textId="77777777" w:rsidR="00BE6936" w:rsidRPr="00292748" w:rsidRDefault="00BE6936" w:rsidP="00BE6936">
      <w:r w:rsidRPr="00292748">
        <w:t>The high level evaluation criteria used were:</w:t>
      </w:r>
    </w:p>
    <w:p w14:paraId="61138C4D" w14:textId="77777777" w:rsidR="00BE6936" w:rsidRPr="00292748" w:rsidRDefault="00BE6936" w:rsidP="00BE6936"/>
    <w:p w14:paraId="45FA5FE2" w14:textId="13902BE0" w:rsidR="00BE6936" w:rsidRPr="00292748" w:rsidRDefault="00BE6936" w:rsidP="00BE6936">
      <w:r w:rsidRPr="00292748">
        <w:t xml:space="preserve">Quality </w:t>
      </w:r>
      <w:r w:rsidRPr="00292748">
        <w:tab/>
        <w:t>7</w:t>
      </w:r>
      <w:r w:rsidR="000E3657" w:rsidRPr="00292748">
        <w:t>0</w:t>
      </w:r>
      <w:r w:rsidRPr="00292748">
        <w:t>%</w:t>
      </w:r>
    </w:p>
    <w:p w14:paraId="313D28E2" w14:textId="4D5D7D4F" w:rsidR="00BE6936" w:rsidRPr="00292748" w:rsidRDefault="00BE6936" w:rsidP="00BE6936">
      <w:r w:rsidRPr="00292748">
        <w:t xml:space="preserve">Price </w:t>
      </w:r>
      <w:r w:rsidRPr="00292748">
        <w:tab/>
      </w:r>
      <w:r w:rsidRPr="00292748">
        <w:tab/>
      </w:r>
      <w:r w:rsidR="000E3657" w:rsidRPr="00292748">
        <w:t>30</w:t>
      </w:r>
      <w:r w:rsidRPr="00292748">
        <w:t>%</w:t>
      </w:r>
    </w:p>
    <w:p w14:paraId="12564065" w14:textId="77777777" w:rsidR="00BE6936" w:rsidRPr="00292748" w:rsidRDefault="00BE6936" w:rsidP="00BE6936"/>
    <w:p w14:paraId="11F11173" w14:textId="676F5B77" w:rsidR="00BE6936" w:rsidRPr="00292748" w:rsidRDefault="00BE6936" w:rsidP="00BE6936">
      <w:r w:rsidRPr="00292748">
        <w:t>Quality consists of Technical Merit &amp; Functional Fit (</w:t>
      </w:r>
      <w:r w:rsidR="00A63E30" w:rsidRPr="00292748">
        <w:t>2</w:t>
      </w:r>
      <w:r w:rsidRPr="00292748">
        <w:t>5%), After Sales</w:t>
      </w:r>
    </w:p>
    <w:p w14:paraId="68372970" w14:textId="1D23AA83" w:rsidR="00BE6936" w:rsidRPr="00292748" w:rsidRDefault="00BE6936" w:rsidP="00BE6936">
      <w:r w:rsidRPr="00292748">
        <w:t>Service Management (</w:t>
      </w:r>
      <w:r w:rsidR="00A63E30" w:rsidRPr="00292748">
        <w:t>25</w:t>
      </w:r>
      <w:r w:rsidRPr="00292748">
        <w:t>%), and Non Functional (</w:t>
      </w:r>
      <w:r w:rsidR="00A63E30" w:rsidRPr="00292748">
        <w:t>20</w:t>
      </w:r>
      <w:r w:rsidRPr="00292748">
        <w:t>%)</w:t>
      </w:r>
    </w:p>
    <w:p w14:paraId="273DA487" w14:textId="77777777" w:rsidR="00BE6936" w:rsidRPr="00292748" w:rsidRDefault="00BE6936" w:rsidP="00BE6936"/>
    <w:p w14:paraId="02DD85AB" w14:textId="77777777" w:rsidR="00BE6936" w:rsidRPr="00292748" w:rsidRDefault="00BE6936" w:rsidP="00BE6936">
      <w:r w:rsidRPr="00292748">
        <w:t>Due to the nature of the procurement and following consultation with Portfolio Holders and other key stakeholders it was deemed not appropriate to include social value and climate change as evaluation criteria, although all responding suppliers signed up to the Council’s Climate Commitment Charter as part of the process.</w:t>
      </w:r>
    </w:p>
    <w:p w14:paraId="7CEC386B" w14:textId="77777777" w:rsidR="00BE6936" w:rsidRPr="00BE6936" w:rsidRDefault="00BE6936" w:rsidP="00BE6936"/>
    <w:p w14:paraId="44413A6E" w14:textId="77777777" w:rsidR="00333FAA" w:rsidRDefault="00333FAA" w:rsidP="00A1211C">
      <w:pPr>
        <w:pStyle w:val="Heading3"/>
        <w:spacing w:before="480" w:after="240"/>
      </w:pPr>
      <w:r>
        <w:t>Legal Implications</w:t>
      </w:r>
    </w:p>
    <w:p w14:paraId="7A42DEA5" w14:textId="5D27C444" w:rsidR="009135A7" w:rsidRDefault="009135A7" w:rsidP="009135A7">
      <w:r>
        <w:t>Legal note</w:t>
      </w:r>
      <w:r w:rsidR="7A14AA3C">
        <w:t>s</w:t>
      </w:r>
      <w:r>
        <w:t xml:space="preserve"> Procurement Comments that this procurement has been conducted compliantly under the Crown Commercial Service G Cloud 13 Framework (RM 1557.13).</w:t>
      </w:r>
    </w:p>
    <w:p w14:paraId="72644E02" w14:textId="77777777" w:rsidR="009135A7" w:rsidRDefault="009135A7" w:rsidP="009135A7"/>
    <w:p w14:paraId="0D119C7D" w14:textId="77777777" w:rsidR="009135A7" w:rsidRDefault="009135A7" w:rsidP="009135A7">
      <w:r>
        <w:t xml:space="preserve">The </w:t>
      </w:r>
      <w:r w:rsidRPr="00EA3433">
        <w:t>G Cloud 13 Framework</w:t>
      </w:r>
      <w:r>
        <w:t xml:space="preserve"> is current, has been lawfully procured under The Public Contracts Regulations 2015 (PCR), and the services the Council is calling off are in scope.</w:t>
      </w:r>
    </w:p>
    <w:p w14:paraId="77AD2154" w14:textId="77777777" w:rsidR="009135A7" w:rsidRDefault="009135A7" w:rsidP="009135A7"/>
    <w:p w14:paraId="47E47D04" w14:textId="77777777" w:rsidR="009135A7" w:rsidRDefault="009135A7" w:rsidP="009135A7">
      <w:r>
        <w:t>Compliant call off contracts from lawfully procured framework agreements are a lawful route for the Council to procure services under both the PCR and the Council’s Contract Procedure Rules.</w:t>
      </w:r>
    </w:p>
    <w:p w14:paraId="06FE3485" w14:textId="0B79C848" w:rsidR="1CB6C805" w:rsidRDefault="1CB6C805" w:rsidP="1CB6C805">
      <w:pPr>
        <w:rPr>
          <w:highlight w:val="yellow"/>
        </w:rPr>
      </w:pPr>
    </w:p>
    <w:p w14:paraId="5ADC28E3" w14:textId="67D0B3D4" w:rsidR="0549899E" w:rsidRPr="00E0254A" w:rsidRDefault="0549899E" w:rsidP="1CB6C805">
      <w:r w:rsidRPr="00E0254A">
        <w:t xml:space="preserve">In proceeding to procure under G Cloud 13 Framework, the council has also considered and discharged its </w:t>
      </w:r>
      <w:r w:rsidR="014E8078" w:rsidRPr="00E0254A">
        <w:t xml:space="preserve">legal duty to achieve value for money. </w:t>
      </w:r>
    </w:p>
    <w:p w14:paraId="239CD2B4" w14:textId="77777777" w:rsidR="009135A7" w:rsidRDefault="009135A7" w:rsidP="009135A7"/>
    <w:p w14:paraId="524C0B79" w14:textId="77777777" w:rsidR="009135A7" w:rsidRDefault="009135A7" w:rsidP="009135A7">
      <w:r>
        <w:t>Legal Services can advise on completing the Call Off contract documentation.</w:t>
      </w:r>
    </w:p>
    <w:p w14:paraId="11F2AC04" w14:textId="77777777" w:rsidR="00333FAA" w:rsidRDefault="00333FAA" w:rsidP="00A1211C">
      <w:pPr>
        <w:pStyle w:val="Heading3"/>
        <w:spacing w:before="480" w:after="240"/>
      </w:pPr>
      <w:r>
        <w:t>Financial Implications</w:t>
      </w:r>
    </w:p>
    <w:p w14:paraId="6D9599A4" w14:textId="2A45BEA2" w:rsidR="00D3276F" w:rsidRPr="00FD3D95" w:rsidRDefault="00F51E77" w:rsidP="00F51E77">
      <w:pPr>
        <w:rPr>
          <w:rFonts w:cs="Arial"/>
          <w:bCs/>
          <w:color w:val="000000" w:themeColor="text1"/>
          <w:szCs w:val="24"/>
          <w:lang w:val="en-US"/>
        </w:rPr>
      </w:pPr>
      <w:r w:rsidRPr="00FD3D95">
        <w:rPr>
          <w:rFonts w:cs="Arial"/>
          <w:bCs/>
          <w:color w:val="000000" w:themeColor="text1"/>
          <w:szCs w:val="24"/>
          <w:lang w:val="en-US"/>
        </w:rPr>
        <w:t xml:space="preserve">The total cost of the contract is set out in Confidential Appendix 2.   The one-off </w:t>
      </w:r>
      <w:r w:rsidR="006E0B34" w:rsidRPr="00FD3D95">
        <w:rPr>
          <w:rFonts w:cs="Arial"/>
          <w:bCs/>
          <w:color w:val="000000" w:themeColor="text1"/>
          <w:szCs w:val="24"/>
          <w:lang w:val="en-US"/>
        </w:rPr>
        <w:t xml:space="preserve">supplier </w:t>
      </w:r>
      <w:r w:rsidR="00D3276F" w:rsidRPr="00FD3D95">
        <w:rPr>
          <w:rFonts w:cs="Arial"/>
          <w:bCs/>
          <w:color w:val="000000" w:themeColor="text1"/>
          <w:szCs w:val="24"/>
          <w:lang w:val="en-US"/>
        </w:rPr>
        <w:t>implementation charge</w:t>
      </w:r>
      <w:r w:rsidR="00BC19A9" w:rsidRPr="00FD3D95">
        <w:rPr>
          <w:rFonts w:cs="Arial"/>
          <w:bCs/>
          <w:color w:val="000000" w:themeColor="text1"/>
          <w:szCs w:val="24"/>
          <w:lang w:val="en-US"/>
        </w:rPr>
        <w:t>s</w:t>
      </w:r>
      <w:r w:rsidR="00D3276F" w:rsidRPr="00FD3D95">
        <w:rPr>
          <w:rFonts w:cs="Arial"/>
          <w:bCs/>
          <w:color w:val="000000" w:themeColor="text1"/>
          <w:szCs w:val="24"/>
          <w:lang w:val="en-US"/>
        </w:rPr>
        <w:t xml:space="preserve"> </w:t>
      </w:r>
      <w:r w:rsidRPr="00FD3D95">
        <w:rPr>
          <w:rFonts w:cs="Arial"/>
          <w:bCs/>
          <w:color w:val="000000" w:themeColor="text1"/>
          <w:szCs w:val="24"/>
          <w:lang w:val="en-US"/>
        </w:rPr>
        <w:t xml:space="preserve">(2024/25) will be met from the IT Capital </w:t>
      </w:r>
      <w:proofErr w:type="spellStart"/>
      <w:r w:rsidRPr="00FD3D95">
        <w:rPr>
          <w:rFonts w:cs="Arial"/>
          <w:bCs/>
          <w:color w:val="000000" w:themeColor="text1"/>
          <w:szCs w:val="24"/>
          <w:lang w:val="en-US"/>
        </w:rPr>
        <w:t>Programme</w:t>
      </w:r>
      <w:proofErr w:type="spellEnd"/>
      <w:r w:rsidR="00DE0844" w:rsidRPr="00FD3D95">
        <w:rPr>
          <w:rFonts w:cs="Arial"/>
          <w:bCs/>
          <w:color w:val="000000" w:themeColor="text1"/>
          <w:szCs w:val="24"/>
          <w:lang w:val="en-US"/>
        </w:rPr>
        <w:t>.  A</w:t>
      </w:r>
      <w:r w:rsidR="004D153A" w:rsidRPr="00FD3D95">
        <w:rPr>
          <w:rFonts w:cs="Arial"/>
          <w:bCs/>
          <w:color w:val="000000" w:themeColor="text1"/>
          <w:szCs w:val="24"/>
          <w:lang w:val="en-US"/>
        </w:rPr>
        <w:t xml:space="preserve">s shown, a </w:t>
      </w:r>
      <w:r w:rsidR="00C42838" w:rsidRPr="00FD3D95">
        <w:rPr>
          <w:rFonts w:cs="Arial"/>
          <w:bCs/>
          <w:color w:val="000000" w:themeColor="text1"/>
          <w:szCs w:val="24"/>
          <w:lang w:val="en-US"/>
        </w:rPr>
        <w:t>20%</w:t>
      </w:r>
      <w:r w:rsidR="00122A1B" w:rsidRPr="00FD3D95">
        <w:rPr>
          <w:rFonts w:cs="Arial"/>
          <w:bCs/>
          <w:color w:val="000000" w:themeColor="text1"/>
          <w:szCs w:val="24"/>
          <w:lang w:val="en-US"/>
        </w:rPr>
        <w:t xml:space="preserve"> contingency allowance has been adde</w:t>
      </w:r>
      <w:r w:rsidR="00DE0844" w:rsidRPr="00FD3D95">
        <w:rPr>
          <w:rFonts w:cs="Arial"/>
          <w:bCs/>
          <w:color w:val="000000" w:themeColor="text1"/>
          <w:szCs w:val="24"/>
          <w:lang w:val="en-US"/>
        </w:rPr>
        <w:t xml:space="preserve">d to the contract value </w:t>
      </w:r>
      <w:r w:rsidR="004D153A" w:rsidRPr="00FD3D95">
        <w:rPr>
          <w:rFonts w:cs="Arial"/>
          <w:bCs/>
          <w:color w:val="000000" w:themeColor="text1"/>
          <w:szCs w:val="24"/>
          <w:lang w:val="en-US"/>
        </w:rPr>
        <w:t xml:space="preserve">to allow </w:t>
      </w:r>
      <w:r w:rsidR="00DE0844" w:rsidRPr="00FD3D95">
        <w:rPr>
          <w:rFonts w:cs="Arial"/>
          <w:bCs/>
          <w:color w:val="000000" w:themeColor="text1"/>
          <w:szCs w:val="24"/>
          <w:lang w:val="en-US"/>
        </w:rPr>
        <w:t xml:space="preserve">for </w:t>
      </w:r>
      <w:r w:rsidR="008E275B" w:rsidRPr="00FD3D95">
        <w:rPr>
          <w:rFonts w:cs="Arial"/>
          <w:bCs/>
          <w:color w:val="000000" w:themeColor="text1"/>
          <w:szCs w:val="24"/>
          <w:lang w:val="en-US"/>
        </w:rPr>
        <w:t xml:space="preserve">minor </w:t>
      </w:r>
      <w:r w:rsidR="00DE0844" w:rsidRPr="00FD3D95">
        <w:rPr>
          <w:rFonts w:cs="Arial"/>
          <w:bCs/>
          <w:color w:val="000000" w:themeColor="text1"/>
          <w:szCs w:val="24"/>
          <w:lang w:val="en-US"/>
        </w:rPr>
        <w:t>projects</w:t>
      </w:r>
      <w:r w:rsidR="008E275B" w:rsidRPr="00FD3D95">
        <w:rPr>
          <w:rFonts w:cs="Arial"/>
          <w:bCs/>
          <w:color w:val="000000" w:themeColor="text1"/>
          <w:szCs w:val="24"/>
          <w:lang w:val="en-US"/>
        </w:rPr>
        <w:t>/</w:t>
      </w:r>
      <w:r w:rsidR="00DE0844" w:rsidRPr="00FD3D95">
        <w:rPr>
          <w:rFonts w:cs="Arial"/>
          <w:bCs/>
          <w:color w:val="000000" w:themeColor="text1"/>
          <w:szCs w:val="24"/>
          <w:lang w:val="en-US"/>
        </w:rPr>
        <w:t xml:space="preserve">changes </w:t>
      </w:r>
      <w:r w:rsidR="008E275B" w:rsidRPr="00FD3D95">
        <w:rPr>
          <w:rFonts w:cs="Arial"/>
          <w:bCs/>
          <w:color w:val="000000" w:themeColor="text1"/>
          <w:szCs w:val="24"/>
          <w:lang w:val="en-US"/>
        </w:rPr>
        <w:t xml:space="preserve">made </w:t>
      </w:r>
      <w:r w:rsidR="00DE0844" w:rsidRPr="00FD3D95">
        <w:rPr>
          <w:rFonts w:cs="Arial"/>
          <w:bCs/>
          <w:color w:val="000000" w:themeColor="text1"/>
          <w:szCs w:val="24"/>
          <w:lang w:val="en-US"/>
        </w:rPr>
        <w:t>within the life of the contract</w:t>
      </w:r>
      <w:r w:rsidR="004D153A" w:rsidRPr="00FD3D95">
        <w:rPr>
          <w:rFonts w:cs="Arial"/>
          <w:bCs/>
          <w:color w:val="000000" w:themeColor="text1"/>
          <w:szCs w:val="24"/>
          <w:lang w:val="en-US"/>
        </w:rPr>
        <w:t xml:space="preserve">.  </w:t>
      </w:r>
      <w:r w:rsidR="00D50B3B" w:rsidRPr="00FD3D95">
        <w:rPr>
          <w:rFonts w:cs="Arial"/>
          <w:bCs/>
          <w:color w:val="000000" w:themeColor="text1"/>
          <w:szCs w:val="24"/>
          <w:lang w:val="en-US"/>
        </w:rPr>
        <w:t xml:space="preserve">Any such projects </w:t>
      </w:r>
      <w:r w:rsidR="004D153A" w:rsidRPr="00FD3D95">
        <w:rPr>
          <w:rFonts w:cs="Arial"/>
          <w:bCs/>
          <w:color w:val="000000" w:themeColor="text1"/>
          <w:szCs w:val="24"/>
          <w:lang w:val="en-US"/>
        </w:rPr>
        <w:t xml:space="preserve">will proceed </w:t>
      </w:r>
      <w:r w:rsidR="00D50B3B" w:rsidRPr="00FD3D95">
        <w:rPr>
          <w:rFonts w:cs="Arial"/>
          <w:bCs/>
          <w:color w:val="000000" w:themeColor="text1"/>
          <w:szCs w:val="24"/>
          <w:lang w:val="en-US"/>
        </w:rPr>
        <w:t xml:space="preserve">only </w:t>
      </w:r>
      <w:r w:rsidR="003136C4" w:rsidRPr="00FD3D95">
        <w:rPr>
          <w:rFonts w:cs="Arial"/>
          <w:bCs/>
          <w:color w:val="000000" w:themeColor="text1"/>
          <w:szCs w:val="24"/>
          <w:lang w:val="en-US"/>
        </w:rPr>
        <w:t xml:space="preserve">subject to approved funding </w:t>
      </w:r>
      <w:r w:rsidR="004D153A" w:rsidRPr="00FD3D95">
        <w:rPr>
          <w:rFonts w:cs="Arial"/>
          <w:bCs/>
          <w:color w:val="000000" w:themeColor="text1"/>
          <w:szCs w:val="24"/>
          <w:lang w:val="en-US"/>
        </w:rPr>
        <w:t>availability</w:t>
      </w:r>
      <w:r w:rsidR="008E275B" w:rsidRPr="00FD3D95">
        <w:rPr>
          <w:rFonts w:cs="Arial"/>
          <w:bCs/>
          <w:color w:val="000000" w:themeColor="text1"/>
          <w:szCs w:val="24"/>
          <w:lang w:val="en-US"/>
        </w:rPr>
        <w:t>.</w:t>
      </w:r>
    </w:p>
    <w:p w14:paraId="2EAE76BF" w14:textId="77777777" w:rsidR="00D3276F" w:rsidRPr="00FD3D95" w:rsidRDefault="00D3276F" w:rsidP="00F51E77">
      <w:pPr>
        <w:rPr>
          <w:rFonts w:cs="Arial"/>
          <w:bCs/>
          <w:color w:val="000000" w:themeColor="text1"/>
          <w:szCs w:val="24"/>
          <w:lang w:val="en-US"/>
        </w:rPr>
      </w:pPr>
    </w:p>
    <w:p w14:paraId="3D7FB975" w14:textId="2AA1B3EF" w:rsidR="00C3072F" w:rsidRPr="00FD3D95" w:rsidRDefault="00C3072F" w:rsidP="00C3072F">
      <w:pPr>
        <w:rPr>
          <w:rFonts w:cs="Arial"/>
          <w:bCs/>
          <w:color w:val="000000" w:themeColor="text1"/>
          <w:szCs w:val="24"/>
          <w:lang w:val="en-US"/>
        </w:rPr>
      </w:pPr>
      <w:r w:rsidRPr="00FD3D95">
        <w:rPr>
          <w:rFonts w:cs="Arial"/>
          <w:bCs/>
          <w:color w:val="000000" w:themeColor="text1"/>
          <w:szCs w:val="24"/>
          <w:lang w:val="en-US"/>
        </w:rPr>
        <w:t>Year 1</w:t>
      </w:r>
      <w:r w:rsidR="002F1C0E" w:rsidRPr="00FD3D95">
        <w:rPr>
          <w:rFonts w:cs="Arial"/>
          <w:bCs/>
          <w:color w:val="000000" w:themeColor="text1"/>
          <w:szCs w:val="24"/>
          <w:lang w:val="en-US"/>
        </w:rPr>
        <w:t xml:space="preserve"> </w:t>
      </w:r>
      <w:r w:rsidRPr="00FD3D95">
        <w:rPr>
          <w:rFonts w:cs="Arial"/>
          <w:bCs/>
          <w:color w:val="000000" w:themeColor="text1"/>
          <w:szCs w:val="24"/>
          <w:lang w:val="en-US"/>
        </w:rPr>
        <w:t xml:space="preserve">revenue </w:t>
      </w:r>
      <w:r w:rsidR="002F1C0E" w:rsidRPr="00FD3D95">
        <w:rPr>
          <w:rFonts w:cs="Arial"/>
          <w:bCs/>
          <w:color w:val="000000" w:themeColor="text1"/>
          <w:szCs w:val="24"/>
          <w:lang w:val="en-US"/>
        </w:rPr>
        <w:t xml:space="preserve">charges </w:t>
      </w:r>
      <w:r w:rsidR="00E832FD" w:rsidRPr="00FD3D95">
        <w:rPr>
          <w:rFonts w:cs="Arial"/>
          <w:bCs/>
          <w:color w:val="000000" w:themeColor="text1"/>
          <w:szCs w:val="24"/>
          <w:lang w:val="en-US"/>
        </w:rPr>
        <w:t>(</w:t>
      </w:r>
      <w:r w:rsidR="002F1C0E" w:rsidRPr="00FD3D95">
        <w:rPr>
          <w:rFonts w:cs="Arial"/>
          <w:bCs/>
          <w:color w:val="000000" w:themeColor="text1"/>
          <w:szCs w:val="24"/>
          <w:lang w:val="en-US"/>
        </w:rPr>
        <w:t>2024/25</w:t>
      </w:r>
      <w:r w:rsidR="00E832FD" w:rsidRPr="00FD3D95">
        <w:rPr>
          <w:rFonts w:cs="Arial"/>
          <w:bCs/>
          <w:color w:val="000000" w:themeColor="text1"/>
          <w:szCs w:val="24"/>
          <w:lang w:val="en-US"/>
        </w:rPr>
        <w:t xml:space="preserve">) </w:t>
      </w:r>
      <w:r w:rsidR="00D257DD">
        <w:rPr>
          <w:rFonts w:cs="Arial"/>
          <w:bCs/>
          <w:color w:val="000000" w:themeColor="text1"/>
          <w:szCs w:val="24"/>
          <w:lang w:val="en-US"/>
        </w:rPr>
        <w:t>of £</w:t>
      </w:r>
      <w:r w:rsidR="007A1888">
        <w:rPr>
          <w:rFonts w:cs="Arial"/>
          <w:bCs/>
          <w:color w:val="000000" w:themeColor="text1"/>
          <w:szCs w:val="24"/>
          <w:lang w:val="en-US"/>
        </w:rPr>
        <w:t>13</w:t>
      </w:r>
      <w:r w:rsidR="00665253">
        <w:rPr>
          <w:rFonts w:cs="Arial"/>
          <w:bCs/>
          <w:color w:val="000000" w:themeColor="text1"/>
          <w:szCs w:val="24"/>
          <w:lang w:val="en-US"/>
        </w:rPr>
        <w:t xml:space="preserve">4,000 </w:t>
      </w:r>
      <w:r w:rsidR="00E832FD" w:rsidRPr="00FD3D95">
        <w:rPr>
          <w:rFonts w:cs="Arial"/>
          <w:bCs/>
          <w:color w:val="000000" w:themeColor="text1"/>
          <w:szCs w:val="24"/>
          <w:lang w:val="en-US"/>
        </w:rPr>
        <w:t xml:space="preserve">covering </w:t>
      </w:r>
      <w:r w:rsidR="002F1C0E" w:rsidRPr="00FD3D95">
        <w:rPr>
          <w:rFonts w:cs="Arial"/>
          <w:bCs/>
          <w:color w:val="000000" w:themeColor="text1"/>
          <w:szCs w:val="24"/>
          <w:lang w:val="en-US"/>
        </w:rPr>
        <w:t xml:space="preserve">annual hosting and support plus </w:t>
      </w:r>
      <w:r w:rsidR="00665253">
        <w:rPr>
          <w:rFonts w:cs="Arial"/>
          <w:bCs/>
          <w:color w:val="000000" w:themeColor="text1"/>
          <w:szCs w:val="24"/>
          <w:lang w:val="en-US"/>
        </w:rPr>
        <w:t xml:space="preserve">the </w:t>
      </w:r>
      <w:r w:rsidRPr="00FD3D95">
        <w:rPr>
          <w:rFonts w:cs="Arial"/>
          <w:bCs/>
          <w:color w:val="000000" w:themeColor="text1"/>
          <w:szCs w:val="24"/>
          <w:lang w:val="en-US"/>
        </w:rPr>
        <w:t xml:space="preserve">one-off budgetary impact of writing-off the Loki implementation capital </w:t>
      </w:r>
      <w:r w:rsidR="00E832FD" w:rsidRPr="00FD3D95">
        <w:rPr>
          <w:rFonts w:cs="Arial"/>
          <w:bCs/>
          <w:color w:val="000000" w:themeColor="text1"/>
          <w:szCs w:val="24"/>
          <w:lang w:val="en-US"/>
        </w:rPr>
        <w:t xml:space="preserve">asset </w:t>
      </w:r>
      <w:r w:rsidRPr="00FD3D95">
        <w:rPr>
          <w:rFonts w:cs="Arial"/>
          <w:bCs/>
          <w:color w:val="000000" w:themeColor="text1"/>
          <w:szCs w:val="24"/>
          <w:lang w:val="en-US"/>
        </w:rPr>
        <w:t>cost</w:t>
      </w:r>
      <w:r w:rsidR="00E832FD" w:rsidRPr="00FD3D95">
        <w:rPr>
          <w:rFonts w:cs="Arial"/>
          <w:bCs/>
          <w:color w:val="000000" w:themeColor="text1"/>
          <w:szCs w:val="24"/>
          <w:lang w:val="en-US"/>
        </w:rPr>
        <w:t>s</w:t>
      </w:r>
      <w:r w:rsidRPr="00FD3D95">
        <w:rPr>
          <w:rFonts w:cs="Arial"/>
          <w:bCs/>
          <w:color w:val="000000" w:themeColor="text1"/>
          <w:szCs w:val="24"/>
          <w:lang w:val="en-US"/>
        </w:rPr>
        <w:t xml:space="preserve"> earlier than envisaged</w:t>
      </w:r>
      <w:r w:rsidR="00E2423B" w:rsidRPr="00FD3D95">
        <w:rPr>
          <w:rFonts w:cs="Arial"/>
          <w:bCs/>
          <w:color w:val="000000" w:themeColor="text1"/>
          <w:szCs w:val="24"/>
          <w:lang w:val="en-US"/>
        </w:rPr>
        <w:t>,</w:t>
      </w:r>
      <w:r w:rsidRPr="00FD3D95">
        <w:rPr>
          <w:rFonts w:cs="Arial"/>
          <w:bCs/>
          <w:color w:val="000000" w:themeColor="text1"/>
          <w:szCs w:val="24"/>
          <w:lang w:val="en-US"/>
        </w:rPr>
        <w:t xml:space="preserve"> will be funded from the </w:t>
      </w:r>
      <w:r w:rsidR="00074CE8">
        <w:rPr>
          <w:rFonts w:cs="Arial"/>
          <w:bCs/>
          <w:color w:val="000000" w:themeColor="text1"/>
          <w:szCs w:val="24"/>
          <w:lang w:val="en-US"/>
        </w:rPr>
        <w:t>Capacity Build/</w:t>
      </w:r>
      <w:r w:rsidRPr="00FD3D95">
        <w:rPr>
          <w:rFonts w:cs="Arial"/>
          <w:bCs/>
          <w:color w:val="000000" w:themeColor="text1"/>
          <w:szCs w:val="24"/>
          <w:lang w:val="en-US"/>
        </w:rPr>
        <w:t>Transformation Reserve.</w:t>
      </w:r>
    </w:p>
    <w:p w14:paraId="5EBE71E1" w14:textId="77777777" w:rsidR="00C3072F" w:rsidRPr="00FD3D95" w:rsidRDefault="00C3072F" w:rsidP="00F51E77">
      <w:pPr>
        <w:rPr>
          <w:rFonts w:cs="Arial"/>
          <w:bCs/>
          <w:color w:val="000000" w:themeColor="text1"/>
          <w:szCs w:val="24"/>
          <w:lang w:val="en-US"/>
        </w:rPr>
      </w:pPr>
    </w:p>
    <w:p w14:paraId="4D095598" w14:textId="3C34F190" w:rsidR="00D50B3B" w:rsidRPr="00FD3D95" w:rsidRDefault="00C3072F" w:rsidP="00F51E77">
      <w:pPr>
        <w:rPr>
          <w:rFonts w:cs="Arial"/>
          <w:bCs/>
          <w:color w:val="000000" w:themeColor="text1"/>
          <w:szCs w:val="24"/>
          <w:lang w:val="en-US"/>
        </w:rPr>
      </w:pPr>
      <w:r w:rsidRPr="00FD3D95">
        <w:rPr>
          <w:rFonts w:cs="Arial"/>
          <w:bCs/>
          <w:color w:val="000000" w:themeColor="text1"/>
          <w:szCs w:val="24"/>
          <w:lang w:val="en-US"/>
        </w:rPr>
        <w:t xml:space="preserve">Year 2 </w:t>
      </w:r>
      <w:r w:rsidR="002F1C0E" w:rsidRPr="00FD3D95">
        <w:rPr>
          <w:rFonts w:cs="Arial"/>
          <w:bCs/>
          <w:color w:val="000000" w:themeColor="text1"/>
          <w:szCs w:val="24"/>
          <w:lang w:val="en-US"/>
        </w:rPr>
        <w:t xml:space="preserve">revenue charges </w:t>
      </w:r>
      <w:r w:rsidR="00E2423B" w:rsidRPr="00FD3D95">
        <w:rPr>
          <w:rFonts w:cs="Arial"/>
          <w:bCs/>
          <w:color w:val="000000" w:themeColor="text1"/>
          <w:szCs w:val="24"/>
          <w:lang w:val="en-US"/>
        </w:rPr>
        <w:t>(2025/26</w:t>
      </w:r>
      <w:r w:rsidR="00FD3D95" w:rsidRPr="00FD3D95">
        <w:rPr>
          <w:rFonts w:cs="Arial"/>
          <w:bCs/>
          <w:color w:val="000000" w:themeColor="text1"/>
          <w:szCs w:val="24"/>
          <w:lang w:val="en-US"/>
        </w:rPr>
        <w:t xml:space="preserve"> </w:t>
      </w:r>
      <w:r w:rsidR="00E2423B" w:rsidRPr="00FD3D95">
        <w:rPr>
          <w:rFonts w:cs="Arial"/>
          <w:bCs/>
          <w:color w:val="000000" w:themeColor="text1"/>
          <w:szCs w:val="24"/>
          <w:lang w:val="en-US"/>
        </w:rPr>
        <w:t>and ongoing</w:t>
      </w:r>
      <w:r w:rsidR="00FD3D95" w:rsidRPr="00FD3D95">
        <w:rPr>
          <w:rFonts w:cs="Arial"/>
          <w:bCs/>
          <w:color w:val="000000" w:themeColor="text1"/>
          <w:szCs w:val="24"/>
          <w:lang w:val="en-US"/>
        </w:rPr>
        <w:t>)</w:t>
      </w:r>
      <w:r w:rsidR="00577ED1" w:rsidRPr="00FD3D95">
        <w:rPr>
          <w:rFonts w:cs="Arial"/>
          <w:bCs/>
          <w:color w:val="000000" w:themeColor="text1"/>
          <w:szCs w:val="24"/>
          <w:lang w:val="en-US"/>
        </w:rPr>
        <w:t xml:space="preserve"> will be met from the annual IT revenue budget, which funds the existing payroll solution.  </w:t>
      </w:r>
      <w:r w:rsidR="00D50B3B" w:rsidRPr="00FD3D95">
        <w:rPr>
          <w:rFonts w:cs="Arial"/>
          <w:bCs/>
          <w:color w:val="000000" w:themeColor="text1"/>
          <w:szCs w:val="24"/>
          <w:lang w:val="en-US"/>
        </w:rPr>
        <w:t xml:space="preserve">The </w:t>
      </w:r>
      <w:r w:rsidR="00FD3D95" w:rsidRPr="00FD3D95">
        <w:rPr>
          <w:rFonts w:cs="Arial"/>
          <w:bCs/>
          <w:color w:val="000000" w:themeColor="text1"/>
          <w:szCs w:val="24"/>
          <w:lang w:val="en-US"/>
        </w:rPr>
        <w:t xml:space="preserve">slight </w:t>
      </w:r>
      <w:r w:rsidR="00D50B3B" w:rsidRPr="00FD3D95">
        <w:rPr>
          <w:rFonts w:cs="Arial"/>
          <w:bCs/>
          <w:color w:val="000000" w:themeColor="text1"/>
          <w:szCs w:val="24"/>
          <w:lang w:val="en-US"/>
        </w:rPr>
        <w:t>increase</w:t>
      </w:r>
      <w:r w:rsidRPr="00FD3D95">
        <w:rPr>
          <w:rFonts w:cs="Arial"/>
          <w:bCs/>
          <w:color w:val="000000" w:themeColor="text1"/>
          <w:szCs w:val="24"/>
          <w:lang w:val="en-US"/>
        </w:rPr>
        <w:t xml:space="preserve"> in </w:t>
      </w:r>
      <w:r w:rsidR="00FD3D95" w:rsidRPr="00FD3D95">
        <w:rPr>
          <w:rFonts w:cs="Arial"/>
          <w:bCs/>
          <w:color w:val="000000" w:themeColor="text1"/>
          <w:szCs w:val="24"/>
          <w:lang w:val="en-US"/>
        </w:rPr>
        <w:t xml:space="preserve">charges </w:t>
      </w:r>
      <w:r w:rsidR="00D50B3B" w:rsidRPr="00FD3D95">
        <w:rPr>
          <w:rFonts w:cs="Arial"/>
          <w:bCs/>
          <w:color w:val="000000" w:themeColor="text1"/>
          <w:szCs w:val="24"/>
          <w:lang w:val="en-US"/>
        </w:rPr>
        <w:t xml:space="preserve">will be </w:t>
      </w:r>
      <w:r w:rsidRPr="00FD3D95">
        <w:rPr>
          <w:rFonts w:cs="Arial"/>
          <w:bCs/>
          <w:color w:val="000000" w:themeColor="text1"/>
          <w:szCs w:val="24"/>
          <w:lang w:val="en-US"/>
        </w:rPr>
        <w:t xml:space="preserve">absorbed </w:t>
      </w:r>
      <w:r w:rsidR="00D50B3B" w:rsidRPr="00FD3D95">
        <w:rPr>
          <w:rFonts w:cs="Arial"/>
          <w:bCs/>
          <w:color w:val="000000" w:themeColor="text1"/>
          <w:szCs w:val="24"/>
          <w:lang w:val="en-US"/>
        </w:rPr>
        <w:t>from wider efficiencies within the IT revenue budget.</w:t>
      </w:r>
    </w:p>
    <w:p w14:paraId="12FE00A3" w14:textId="77777777" w:rsidR="00E90F4F" w:rsidRDefault="00E90F4F" w:rsidP="00F51E77">
      <w:pPr>
        <w:rPr>
          <w:rFonts w:cs="Arial"/>
          <w:bCs/>
          <w:color w:val="FF0000"/>
          <w:szCs w:val="24"/>
          <w:lang w:val="en-US"/>
        </w:rPr>
      </w:pP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791E425B" w14:textId="76BBBDF7" w:rsidR="00574F87" w:rsidRDefault="00574F87" w:rsidP="00574F87">
      <w:r>
        <w:t>N/A</w:t>
      </w:r>
    </w:p>
    <w:p w14:paraId="735D81F2" w14:textId="4BF46046"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825AF0D" w14:textId="77777777" w:rsidR="00377569" w:rsidRDefault="00377569" w:rsidP="00377569">
      <w:pPr>
        <w:pStyle w:val="StyleListParagraphBold"/>
        <w:numPr>
          <w:ilvl w:val="0"/>
          <w:numId w:val="47"/>
        </w:numPr>
        <w:rPr>
          <w:lang w:eastAsia="en-US"/>
        </w:rPr>
      </w:pPr>
      <w:r w:rsidRPr="00752110">
        <w:t>A council that puts residents first</w:t>
      </w:r>
    </w:p>
    <w:p w14:paraId="003C2B4D" w14:textId="77777777" w:rsidR="00DE5E80" w:rsidRDefault="00DE5E80" w:rsidP="00DE5E80">
      <w:pPr>
        <w:pStyle w:val="StyleListParagraphBold"/>
        <w:ind w:left="0"/>
        <w:rPr>
          <w:lang w:eastAsia="en-US"/>
        </w:rPr>
      </w:pPr>
    </w:p>
    <w:p w14:paraId="07037206" w14:textId="77777777" w:rsidR="00A740E3" w:rsidRDefault="00A740E3" w:rsidP="00A740E3">
      <w:pPr>
        <w:rPr>
          <w:rFonts w:cs="Arial"/>
          <w:szCs w:val="24"/>
          <w:lang w:val="en-US"/>
        </w:rPr>
      </w:pPr>
      <w:proofErr w:type="spellStart"/>
      <w:r w:rsidRPr="00704770">
        <w:rPr>
          <w:rFonts w:cs="Arial"/>
          <w:bCs/>
          <w:szCs w:val="24"/>
          <w:lang w:val="en-US"/>
        </w:rPr>
        <w:t>Optimi</w:t>
      </w:r>
      <w:r>
        <w:rPr>
          <w:rFonts w:cs="Arial"/>
          <w:bCs/>
          <w:szCs w:val="24"/>
          <w:lang w:val="en-US"/>
        </w:rPr>
        <w:t>sing</w:t>
      </w:r>
      <w:proofErr w:type="spellEnd"/>
      <w:r>
        <w:rPr>
          <w:rFonts w:cs="Arial"/>
          <w:bCs/>
          <w:szCs w:val="24"/>
          <w:lang w:val="en-US"/>
        </w:rPr>
        <w:t xml:space="preserve"> the Council’s HR and Payroll technology will help to support and further develop and enhance the HR and Payroll services.  This will significantly improve the efficiency of internal corporate operations and release capacity for more support to frontline services.</w:t>
      </w:r>
    </w:p>
    <w:p w14:paraId="14EF6C3E" w14:textId="77777777" w:rsidR="00DE5E80" w:rsidRPr="00752110" w:rsidRDefault="00DE5E80" w:rsidP="00DE5E80">
      <w:pPr>
        <w:pStyle w:val="StyleListParagraphBold"/>
        <w:ind w:left="0"/>
        <w:rPr>
          <w:lang w:eastAsia="en-US"/>
        </w:rPr>
      </w:pPr>
    </w:p>
    <w:p w14:paraId="5514D939" w14:textId="77777777" w:rsidR="00333FAA" w:rsidRDefault="00333FAA" w:rsidP="000B7C66">
      <w:pPr>
        <w:pStyle w:val="Heading2"/>
        <w:spacing w:before="480" w:after="240"/>
      </w:pPr>
      <w:r>
        <w:t>Section 3 - Statutory Officer Clearance</w:t>
      </w:r>
    </w:p>
    <w:p w14:paraId="3B5D52F9" w14:textId="70C93DF4" w:rsidR="00A66326" w:rsidRPr="00A66326" w:rsidRDefault="00A66326" w:rsidP="00A66326">
      <w:pPr>
        <w:rPr>
          <w:sz w:val="28"/>
        </w:rPr>
      </w:pPr>
      <w:r w:rsidRPr="00A66326">
        <w:rPr>
          <w:b/>
          <w:sz w:val="28"/>
        </w:rPr>
        <w:t xml:space="preserve">Statutory Officer: </w:t>
      </w:r>
      <w:r w:rsidR="009C5971">
        <w:rPr>
          <w:b/>
          <w:sz w:val="28"/>
        </w:rPr>
        <w:t>Sharon Daniels</w:t>
      </w:r>
    </w:p>
    <w:p w14:paraId="06450070" w14:textId="5DBDA560" w:rsidR="00A66326" w:rsidRPr="00A66326" w:rsidRDefault="00A66326" w:rsidP="00A66326">
      <w:r w:rsidRPr="00A66326">
        <w:t xml:space="preserve">Signed </w:t>
      </w:r>
      <w:r w:rsidR="009C5971">
        <w:t xml:space="preserve">by </w:t>
      </w:r>
      <w:r w:rsidRPr="00A66326">
        <w:t>the Chief Financial Officer</w:t>
      </w:r>
    </w:p>
    <w:p w14:paraId="33977AD6" w14:textId="77777777" w:rsidR="00A66326" w:rsidRPr="00A66326" w:rsidRDefault="00A66326" w:rsidP="00A66326">
      <w:pPr>
        <w:rPr>
          <w:sz w:val="28"/>
        </w:rPr>
      </w:pPr>
    </w:p>
    <w:p w14:paraId="555021EF" w14:textId="64BCC241" w:rsidR="00A66326" w:rsidRPr="00A66326" w:rsidRDefault="00A66326" w:rsidP="00A66326">
      <w:pPr>
        <w:spacing w:after="480"/>
        <w:rPr>
          <w:sz w:val="28"/>
        </w:rPr>
      </w:pPr>
      <w:r w:rsidRPr="00A66326">
        <w:rPr>
          <w:b/>
          <w:sz w:val="28"/>
        </w:rPr>
        <w:t xml:space="preserve">Date: </w:t>
      </w:r>
      <w:r w:rsidR="00942662">
        <w:rPr>
          <w:b/>
          <w:sz w:val="28"/>
        </w:rPr>
        <w:t>26/01/2024</w:t>
      </w:r>
      <w:r w:rsidRPr="00A66326">
        <w:rPr>
          <w:b/>
          <w:sz w:val="28"/>
        </w:rPr>
        <w:t xml:space="preserve"> </w:t>
      </w:r>
    </w:p>
    <w:p w14:paraId="7E329E85" w14:textId="2B3B0DB7" w:rsidR="00A66326" w:rsidRPr="00A66326" w:rsidRDefault="00A66326" w:rsidP="00A66326">
      <w:pPr>
        <w:rPr>
          <w:sz w:val="28"/>
        </w:rPr>
      </w:pPr>
      <w:r w:rsidRPr="00A66326">
        <w:rPr>
          <w:b/>
          <w:sz w:val="28"/>
        </w:rPr>
        <w:t xml:space="preserve">Statutory Officer:  </w:t>
      </w:r>
      <w:r w:rsidR="00CE1966">
        <w:rPr>
          <w:b/>
          <w:sz w:val="28"/>
        </w:rPr>
        <w:t>Nhlanhla Mahlangu</w:t>
      </w:r>
    </w:p>
    <w:p w14:paraId="76F84634" w14:textId="3D44DA43" w:rsidR="00A66326" w:rsidRPr="00A66326" w:rsidRDefault="00A66326" w:rsidP="00A66326">
      <w:r w:rsidRPr="00A66326">
        <w:t>Signed on behalf of</w:t>
      </w:r>
      <w:r w:rsidR="00CC2EAC">
        <w:t xml:space="preserve"> </w:t>
      </w:r>
      <w:r w:rsidRPr="00A66326">
        <w:t>the Monitoring Officer</w:t>
      </w:r>
    </w:p>
    <w:p w14:paraId="76E71941" w14:textId="77777777" w:rsidR="00A66326" w:rsidRPr="00A66326" w:rsidRDefault="00A66326" w:rsidP="00A66326">
      <w:pPr>
        <w:rPr>
          <w:sz w:val="28"/>
        </w:rPr>
      </w:pPr>
    </w:p>
    <w:p w14:paraId="1AC0D358" w14:textId="14931D58" w:rsidR="00A66326" w:rsidRPr="003313EA" w:rsidRDefault="00A66326" w:rsidP="00A66326">
      <w:pPr>
        <w:spacing w:after="480"/>
        <w:rPr>
          <w:sz w:val="28"/>
        </w:rPr>
      </w:pPr>
      <w:r w:rsidRPr="00A66326">
        <w:rPr>
          <w:b/>
          <w:sz w:val="28"/>
        </w:rPr>
        <w:t xml:space="preserve">Date: </w:t>
      </w:r>
      <w:r w:rsidR="003E6E4D">
        <w:rPr>
          <w:b/>
          <w:sz w:val="28"/>
        </w:rPr>
        <w:t>25/01/2024</w:t>
      </w:r>
      <w:r w:rsidRPr="00A66326">
        <w:rPr>
          <w:b/>
          <w:sz w:val="28"/>
        </w:rPr>
        <w:t xml:space="preserve"> </w:t>
      </w:r>
    </w:p>
    <w:p w14:paraId="31D8FA55" w14:textId="40F7ACEF" w:rsidR="00BF5AFA" w:rsidRPr="00A66326" w:rsidRDefault="00BF5AFA" w:rsidP="00BF5AFA">
      <w:pPr>
        <w:rPr>
          <w:sz w:val="28"/>
        </w:rPr>
      </w:pPr>
      <w:r>
        <w:rPr>
          <w:b/>
          <w:sz w:val="28"/>
        </w:rPr>
        <w:t>Chief</w:t>
      </w:r>
      <w:r w:rsidRPr="00A66326">
        <w:rPr>
          <w:b/>
          <w:sz w:val="28"/>
        </w:rPr>
        <w:t xml:space="preserve"> Officer: </w:t>
      </w:r>
      <w:r w:rsidR="00CE1966">
        <w:rPr>
          <w:b/>
          <w:sz w:val="28"/>
        </w:rPr>
        <w:t>Alex Dewsnap</w:t>
      </w:r>
    </w:p>
    <w:p w14:paraId="6C086558" w14:textId="7F653233" w:rsidR="00BF5AFA" w:rsidRPr="00A66326" w:rsidRDefault="00BF5AFA" w:rsidP="00BF5AFA">
      <w:r w:rsidRPr="00A66326">
        <w:t xml:space="preserve">Signed </w:t>
      </w:r>
      <w:r>
        <w:t xml:space="preserve">off by the </w:t>
      </w:r>
      <w:r w:rsidR="00CE1966">
        <w:t>Managing Director</w:t>
      </w:r>
    </w:p>
    <w:p w14:paraId="34A60057" w14:textId="77777777" w:rsidR="00BF5AFA" w:rsidRPr="00A66326" w:rsidRDefault="00BF5AFA" w:rsidP="00BF5AFA">
      <w:pPr>
        <w:rPr>
          <w:sz w:val="28"/>
        </w:rPr>
      </w:pPr>
    </w:p>
    <w:p w14:paraId="5F67CDF0" w14:textId="7AFA2C45" w:rsidR="00BF5AFA" w:rsidRPr="00A66326" w:rsidRDefault="00BF5AFA" w:rsidP="00BF5AFA">
      <w:pPr>
        <w:spacing w:after="480"/>
        <w:rPr>
          <w:sz w:val="28"/>
        </w:rPr>
      </w:pPr>
      <w:r w:rsidRPr="00A66326">
        <w:rPr>
          <w:b/>
          <w:sz w:val="28"/>
        </w:rPr>
        <w:t xml:space="preserve">Date:  </w:t>
      </w:r>
      <w:r w:rsidR="00506A44">
        <w:rPr>
          <w:b/>
          <w:sz w:val="28"/>
        </w:rPr>
        <w:t>26/01/2024</w:t>
      </w:r>
    </w:p>
    <w:p w14:paraId="2C546334" w14:textId="32B09B69" w:rsidR="00BF5AFA" w:rsidRPr="00A66326" w:rsidRDefault="00BF5AFA" w:rsidP="00BF5AFA">
      <w:pPr>
        <w:rPr>
          <w:sz w:val="28"/>
        </w:rPr>
      </w:pPr>
      <w:r>
        <w:rPr>
          <w:b/>
          <w:sz w:val="28"/>
        </w:rPr>
        <w:t>Head of Procurement</w:t>
      </w:r>
      <w:r w:rsidRPr="00A66326">
        <w:rPr>
          <w:b/>
          <w:sz w:val="28"/>
        </w:rPr>
        <w:t xml:space="preserve">: </w:t>
      </w:r>
      <w:r w:rsidR="009D319A">
        <w:rPr>
          <w:b/>
          <w:sz w:val="28"/>
        </w:rPr>
        <w:t>Nimesh Mehta</w:t>
      </w:r>
      <w:r w:rsidRPr="00A66326">
        <w:rPr>
          <w:b/>
          <w:sz w:val="28"/>
        </w:rPr>
        <w:t xml:space="preserve"> </w:t>
      </w:r>
    </w:p>
    <w:p w14:paraId="3C6E94C3" w14:textId="1A886FC4" w:rsidR="00BF5AFA" w:rsidRPr="00A66326" w:rsidRDefault="00BF5AFA" w:rsidP="00BF5AFA">
      <w:r w:rsidRPr="00A66326">
        <w:t xml:space="preserve">Signed </w:t>
      </w:r>
      <w:r w:rsidR="00570C5A">
        <w:t xml:space="preserve">on behalf of </w:t>
      </w:r>
      <w:r w:rsidRPr="00A66326">
        <w:t xml:space="preserve">the </w:t>
      </w:r>
      <w:r>
        <w:t>Head of Procurement</w:t>
      </w:r>
      <w:r w:rsidR="00570C5A">
        <w:t xml:space="preserve"> by Carol Barlow</w:t>
      </w:r>
    </w:p>
    <w:p w14:paraId="399669DE" w14:textId="77777777" w:rsidR="00BF5AFA" w:rsidRPr="00A66326" w:rsidRDefault="00BF5AFA" w:rsidP="00BF5AFA">
      <w:pPr>
        <w:rPr>
          <w:sz w:val="28"/>
        </w:rPr>
      </w:pPr>
    </w:p>
    <w:p w14:paraId="5A683B65" w14:textId="1283494C" w:rsidR="00BF5AFA" w:rsidRPr="003313EA" w:rsidRDefault="00BF5AFA" w:rsidP="00BF5AFA">
      <w:pPr>
        <w:spacing w:after="480"/>
        <w:rPr>
          <w:sz w:val="28"/>
        </w:rPr>
      </w:pPr>
      <w:r w:rsidRPr="00A66326">
        <w:rPr>
          <w:b/>
          <w:sz w:val="28"/>
        </w:rPr>
        <w:t xml:space="preserve">Date: </w:t>
      </w:r>
      <w:r w:rsidR="00CE567C">
        <w:rPr>
          <w:b/>
          <w:sz w:val="28"/>
        </w:rPr>
        <w:t>24/01/2025</w:t>
      </w:r>
      <w:r w:rsidRPr="00A66326">
        <w:rPr>
          <w:b/>
          <w:sz w:val="28"/>
        </w:rPr>
        <w:t xml:space="preserve"> </w:t>
      </w:r>
    </w:p>
    <w:p w14:paraId="113297A5" w14:textId="4D29F8C0" w:rsidR="00BF5AFA" w:rsidRPr="00A66326" w:rsidRDefault="00916FDB" w:rsidP="00BF5AFA">
      <w:pPr>
        <w:rPr>
          <w:sz w:val="28"/>
        </w:rPr>
      </w:pPr>
      <w:r>
        <w:rPr>
          <w:b/>
          <w:sz w:val="28"/>
        </w:rPr>
        <w:t xml:space="preserve">Interim </w:t>
      </w:r>
      <w:r w:rsidR="00814A57">
        <w:rPr>
          <w:b/>
          <w:sz w:val="28"/>
        </w:rPr>
        <w:t>Risk Manager</w:t>
      </w:r>
      <w:r w:rsidR="00BF5AFA" w:rsidRPr="00A66326">
        <w:rPr>
          <w:b/>
          <w:sz w:val="28"/>
        </w:rPr>
        <w:t xml:space="preserve">: </w:t>
      </w:r>
      <w:r w:rsidR="00814A57">
        <w:rPr>
          <w:b/>
          <w:sz w:val="28"/>
        </w:rPr>
        <w:t>Neale Burns</w:t>
      </w:r>
      <w:r w:rsidR="00BF5AFA" w:rsidRPr="00A66326">
        <w:rPr>
          <w:b/>
          <w:sz w:val="28"/>
        </w:rPr>
        <w:t xml:space="preserve"> </w:t>
      </w:r>
    </w:p>
    <w:p w14:paraId="5CF04A24" w14:textId="61867155" w:rsidR="00BF5AFA" w:rsidRPr="00A66326" w:rsidRDefault="00BF5AFA" w:rsidP="00BF5AFA">
      <w:r w:rsidRPr="00A66326">
        <w:lastRenderedPageBreak/>
        <w:t xml:space="preserve">Signed </w:t>
      </w:r>
      <w:r w:rsidR="00916FDB">
        <w:t xml:space="preserve">on behalf of </w:t>
      </w:r>
      <w:r w:rsidRPr="00A66326">
        <w:t xml:space="preserve">the </w:t>
      </w:r>
      <w:r w:rsidR="00814A57">
        <w:t xml:space="preserve">Interim </w:t>
      </w:r>
      <w:r>
        <w:t>Head of Internal Audit</w:t>
      </w:r>
    </w:p>
    <w:p w14:paraId="3B1CEB5F" w14:textId="77777777" w:rsidR="00BF5AFA" w:rsidRPr="00A66326" w:rsidRDefault="00BF5AFA" w:rsidP="00BF5AFA">
      <w:pPr>
        <w:rPr>
          <w:sz w:val="28"/>
        </w:rPr>
      </w:pPr>
    </w:p>
    <w:p w14:paraId="065BF29C" w14:textId="23210708" w:rsidR="00BF5AFA" w:rsidRPr="00F42E1E" w:rsidRDefault="00BF5AFA" w:rsidP="49B2ED9F">
      <w:pPr>
        <w:pStyle w:val="Heading2"/>
        <w:spacing w:after="240"/>
        <w:rPr>
          <w:rFonts w:ascii="Arial" w:hAnsi="Arial"/>
          <w:sz w:val="28"/>
          <w:szCs w:val="28"/>
        </w:rPr>
      </w:pPr>
      <w:r w:rsidRPr="49B2ED9F">
        <w:rPr>
          <w:rFonts w:ascii="Arial" w:hAnsi="Arial"/>
          <w:sz w:val="28"/>
          <w:szCs w:val="28"/>
        </w:rPr>
        <w:t>Date:</w:t>
      </w:r>
      <w:r w:rsidR="3C90E5FF" w:rsidRPr="49B2ED9F">
        <w:rPr>
          <w:rFonts w:ascii="Arial" w:hAnsi="Arial"/>
          <w:sz w:val="28"/>
          <w:szCs w:val="28"/>
        </w:rPr>
        <w:t xml:space="preserve"> 25</w:t>
      </w:r>
      <w:r w:rsidR="00CE567C">
        <w:rPr>
          <w:rFonts w:ascii="Arial" w:hAnsi="Arial"/>
          <w:sz w:val="28"/>
          <w:szCs w:val="28"/>
        </w:rPr>
        <w:t>/</w:t>
      </w:r>
      <w:r w:rsidR="3C90E5FF" w:rsidRPr="49B2ED9F">
        <w:rPr>
          <w:rFonts w:ascii="Arial" w:hAnsi="Arial"/>
          <w:sz w:val="28"/>
          <w:szCs w:val="28"/>
        </w:rPr>
        <w:t>01</w:t>
      </w:r>
      <w:r w:rsidR="00CE567C">
        <w:rPr>
          <w:rFonts w:ascii="Arial" w:hAnsi="Arial"/>
          <w:sz w:val="28"/>
          <w:szCs w:val="28"/>
        </w:rPr>
        <w:t>/20</w:t>
      </w:r>
      <w:r w:rsidR="3C90E5FF" w:rsidRPr="49B2ED9F">
        <w:rPr>
          <w:rFonts w:ascii="Arial" w:hAnsi="Arial"/>
          <w:sz w:val="28"/>
          <w:szCs w:val="28"/>
        </w:rPr>
        <w:t>24</w:t>
      </w:r>
    </w:p>
    <w:p w14:paraId="04C352A5" w14:textId="77777777" w:rsidR="00F42E1E" w:rsidRDefault="00F42E1E" w:rsidP="00F42E1E"/>
    <w:p w14:paraId="236185B6" w14:textId="79038AFD"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954A44">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1F26E69E"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1C9C7F4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w:t>
      </w:r>
      <w:r w:rsidR="009B64C7">
        <w:t>O</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8A1FBA4" w14:textId="77777777" w:rsidR="00B311DD" w:rsidRPr="005808FB" w:rsidRDefault="00B311DD" w:rsidP="00B311DD">
      <w:pPr>
        <w:pStyle w:val="Infotext"/>
        <w:spacing w:after="240"/>
        <w:rPr>
          <w:color w:val="FF0000"/>
        </w:rPr>
      </w:pPr>
      <w:r w:rsidRPr="004E47FC">
        <w:rPr>
          <w:b/>
        </w:rPr>
        <w:t xml:space="preserve">Contact:  </w:t>
      </w:r>
      <w:r w:rsidRPr="005E3716">
        <w:t>Ben Goward, Director of ICT,</w:t>
      </w:r>
      <w:r>
        <w:rPr>
          <w:color w:val="FF0000"/>
        </w:rPr>
        <w:t xml:space="preserve"> </w:t>
      </w:r>
      <w:hyperlink r:id="rId15" w:history="1">
        <w:r w:rsidRPr="003F1787">
          <w:rPr>
            <w:rStyle w:val="Hyperlink"/>
          </w:rPr>
          <w:t>Ben.Goward@harrow.gov.uk</w:t>
        </w:r>
      </w:hyperlink>
      <w:r>
        <w:rPr>
          <w:color w:val="FF0000"/>
        </w:rPr>
        <w:t xml:space="preserve"> </w:t>
      </w:r>
    </w:p>
    <w:p w14:paraId="793FBF1B" w14:textId="77777777" w:rsidR="00B311DD" w:rsidRPr="00704770" w:rsidRDefault="00B311DD" w:rsidP="00B311DD">
      <w:pPr>
        <w:rPr>
          <w:rFonts w:ascii="Calibri" w:hAnsi="Calibri"/>
          <w:bCs/>
          <w:szCs w:val="24"/>
          <w:lang w:eastAsia="en-GB"/>
        </w:rPr>
      </w:pPr>
      <w:r w:rsidRPr="004E47FC">
        <w:rPr>
          <w:b/>
        </w:rPr>
        <w:t xml:space="preserve">Background Papers: </w:t>
      </w:r>
      <w:r>
        <w:rPr>
          <w:b/>
        </w:rPr>
        <w:t xml:space="preserve"> </w:t>
      </w:r>
      <w:r w:rsidRPr="00A30B49">
        <w:rPr>
          <w:bCs/>
        </w:rPr>
        <w:t>None</w:t>
      </w:r>
    </w:p>
    <w:p w14:paraId="0E01335A" w14:textId="77777777" w:rsidR="00B311DD" w:rsidRDefault="00B311DD" w:rsidP="00AC6312">
      <w:pPr>
        <w:rPr>
          <w:rFonts w:cs="Arial"/>
          <w:b/>
          <w:bCs/>
          <w:iCs/>
          <w:szCs w:val="24"/>
          <w:lang w:eastAsia="en-GB"/>
        </w:rPr>
      </w:pP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843B043" w14:textId="77777777" w:rsidR="00842757" w:rsidRPr="003D78F6" w:rsidRDefault="00842757" w:rsidP="00A53B04">
      <w:pPr>
        <w:pStyle w:val="Infotext"/>
        <w:rPr>
          <w:i/>
          <w:sz w:val="24"/>
          <w:szCs w:val="24"/>
        </w:rPr>
      </w:pPr>
      <w:r w:rsidRPr="003D78F6">
        <w:rPr>
          <w:i/>
          <w:sz w:val="24"/>
          <w:szCs w:val="24"/>
        </w:rPr>
        <w:t>(for completion by Democratic Services staff only)</w:t>
      </w:r>
    </w:p>
    <w:p w14:paraId="17CDBD67" w14:textId="65FD8272" w:rsidR="00842757" w:rsidRDefault="00842757" w:rsidP="00842757">
      <w:pPr>
        <w:pStyle w:val="Infotext"/>
        <w:spacing w:before="240"/>
      </w:pPr>
      <w:r w:rsidRPr="003D78F6">
        <w:rPr>
          <w:b/>
        </w:rPr>
        <w:t>NOT APPLICABLE</w:t>
      </w:r>
      <w:r>
        <w:t>*</w:t>
      </w:r>
    </w:p>
    <w:sectPr w:rsidR="00842757" w:rsidSect="001614E0">
      <w:headerReference w:type="default" r:id="rId16"/>
      <w:foot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6BC3" w14:textId="77777777" w:rsidR="009B64EF" w:rsidRDefault="009B64EF">
      <w:r>
        <w:separator/>
      </w:r>
    </w:p>
  </w:endnote>
  <w:endnote w:type="continuationSeparator" w:id="0">
    <w:p w14:paraId="7C4FCE43" w14:textId="77777777" w:rsidR="009B64EF" w:rsidRDefault="009B64EF">
      <w:r>
        <w:continuationSeparator/>
      </w:r>
    </w:p>
  </w:endnote>
  <w:endnote w:type="continuationNotice" w:id="1">
    <w:p w14:paraId="12FAC601" w14:textId="77777777" w:rsidR="009B64EF" w:rsidRDefault="009B6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CB6C805" w14:paraId="147D3B4C" w14:textId="77777777" w:rsidTr="1CB6C805">
      <w:trPr>
        <w:trHeight w:val="300"/>
      </w:trPr>
      <w:tc>
        <w:tcPr>
          <w:tcW w:w="2765" w:type="dxa"/>
        </w:tcPr>
        <w:p w14:paraId="3F3597D7" w14:textId="3157B134" w:rsidR="1CB6C805" w:rsidRDefault="1CB6C805" w:rsidP="1CB6C805">
          <w:pPr>
            <w:pStyle w:val="Header"/>
            <w:ind w:left="-115"/>
          </w:pPr>
        </w:p>
      </w:tc>
      <w:tc>
        <w:tcPr>
          <w:tcW w:w="2765" w:type="dxa"/>
        </w:tcPr>
        <w:p w14:paraId="3F48D0D5" w14:textId="61D0A075" w:rsidR="1CB6C805" w:rsidRDefault="1CB6C805" w:rsidP="1CB6C805">
          <w:pPr>
            <w:pStyle w:val="Header"/>
            <w:jc w:val="center"/>
          </w:pPr>
        </w:p>
      </w:tc>
      <w:tc>
        <w:tcPr>
          <w:tcW w:w="2765" w:type="dxa"/>
        </w:tcPr>
        <w:p w14:paraId="1A70C8F7" w14:textId="0F7D9D57" w:rsidR="1CB6C805" w:rsidRDefault="1CB6C805" w:rsidP="1CB6C805">
          <w:pPr>
            <w:pStyle w:val="Header"/>
            <w:ind w:right="-115"/>
            <w:jc w:val="right"/>
          </w:pPr>
        </w:p>
      </w:tc>
    </w:tr>
  </w:tbl>
  <w:p w14:paraId="45A440F7" w14:textId="10FB6EC8" w:rsidR="1CB6C805" w:rsidRDefault="1CB6C805" w:rsidP="1CB6C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EFA0" w14:textId="77777777" w:rsidR="009B64EF" w:rsidRDefault="009B64EF">
      <w:r>
        <w:separator/>
      </w:r>
    </w:p>
  </w:footnote>
  <w:footnote w:type="continuationSeparator" w:id="0">
    <w:p w14:paraId="01B44052" w14:textId="77777777" w:rsidR="009B64EF" w:rsidRDefault="009B64EF">
      <w:r>
        <w:continuationSeparator/>
      </w:r>
    </w:p>
  </w:footnote>
  <w:footnote w:type="continuationNotice" w:id="1">
    <w:p w14:paraId="5226C75A" w14:textId="77777777" w:rsidR="009B64EF" w:rsidRDefault="009B6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8D7FA2"/>
    <w:multiLevelType w:val="hybridMultilevel"/>
    <w:tmpl w:val="AAB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5109BF"/>
    <w:multiLevelType w:val="multilevel"/>
    <w:tmpl w:val="08CE2DA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ED420A"/>
    <w:multiLevelType w:val="hybridMultilevel"/>
    <w:tmpl w:val="93F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19"/>
  </w:num>
  <w:num w:numId="2" w16cid:durableId="257064866">
    <w:abstractNumId w:val="43"/>
  </w:num>
  <w:num w:numId="3" w16cid:durableId="2060467741">
    <w:abstractNumId w:val="16"/>
  </w:num>
  <w:num w:numId="4" w16cid:durableId="601306738">
    <w:abstractNumId w:val="46"/>
  </w:num>
  <w:num w:numId="5" w16cid:durableId="391001761">
    <w:abstractNumId w:val="42"/>
  </w:num>
  <w:num w:numId="6" w16cid:durableId="644969693">
    <w:abstractNumId w:val="18"/>
  </w:num>
  <w:num w:numId="7" w16cid:durableId="1267928284">
    <w:abstractNumId w:val="1"/>
  </w:num>
  <w:num w:numId="8" w16cid:durableId="2093893701">
    <w:abstractNumId w:val="24"/>
  </w:num>
  <w:num w:numId="9" w16cid:durableId="129053971">
    <w:abstractNumId w:val="25"/>
  </w:num>
  <w:num w:numId="10" w16cid:durableId="529951628">
    <w:abstractNumId w:val="45"/>
  </w:num>
  <w:num w:numId="11" w16cid:durableId="397167230">
    <w:abstractNumId w:val="13"/>
  </w:num>
  <w:num w:numId="12" w16cid:durableId="1276059689">
    <w:abstractNumId w:val="22"/>
  </w:num>
  <w:num w:numId="13" w16cid:durableId="1396662829">
    <w:abstractNumId w:val="23"/>
  </w:num>
  <w:num w:numId="14" w16cid:durableId="1643147661">
    <w:abstractNumId w:val="14"/>
  </w:num>
  <w:num w:numId="15" w16cid:durableId="1143692117">
    <w:abstractNumId w:val="34"/>
  </w:num>
  <w:num w:numId="16" w16cid:durableId="576406618">
    <w:abstractNumId w:val="17"/>
  </w:num>
  <w:num w:numId="17" w16cid:durableId="231888274">
    <w:abstractNumId w:val="37"/>
  </w:num>
  <w:num w:numId="18" w16cid:durableId="1260604424">
    <w:abstractNumId w:val="20"/>
  </w:num>
  <w:num w:numId="19" w16cid:durableId="1885410564">
    <w:abstractNumId w:val="44"/>
  </w:num>
  <w:num w:numId="20" w16cid:durableId="1359358741">
    <w:abstractNumId w:val="6"/>
  </w:num>
  <w:num w:numId="21" w16cid:durableId="1857186901">
    <w:abstractNumId w:val="0"/>
  </w:num>
  <w:num w:numId="22" w16cid:durableId="1266617340">
    <w:abstractNumId w:val="7"/>
  </w:num>
  <w:num w:numId="23" w16cid:durableId="908002835">
    <w:abstractNumId w:val="30"/>
  </w:num>
  <w:num w:numId="24" w16cid:durableId="1105155178">
    <w:abstractNumId w:val="9"/>
  </w:num>
  <w:num w:numId="25" w16cid:durableId="1672294054">
    <w:abstractNumId w:val="26"/>
  </w:num>
  <w:num w:numId="26" w16cid:durableId="855654384">
    <w:abstractNumId w:val="31"/>
  </w:num>
  <w:num w:numId="27" w16cid:durableId="857698903">
    <w:abstractNumId w:val="32"/>
  </w:num>
  <w:num w:numId="28" w16cid:durableId="571936011">
    <w:abstractNumId w:val="12"/>
  </w:num>
  <w:num w:numId="29" w16cid:durableId="1790002351">
    <w:abstractNumId w:val="41"/>
  </w:num>
  <w:num w:numId="30" w16cid:durableId="1617330022">
    <w:abstractNumId w:val="11"/>
  </w:num>
  <w:num w:numId="31" w16cid:durableId="2083478515">
    <w:abstractNumId w:val="33"/>
  </w:num>
  <w:num w:numId="32" w16cid:durableId="1698581848">
    <w:abstractNumId w:val="36"/>
  </w:num>
  <w:num w:numId="33" w16cid:durableId="308706256">
    <w:abstractNumId w:val="38"/>
  </w:num>
  <w:num w:numId="34" w16cid:durableId="1151672782">
    <w:abstractNumId w:val="10"/>
  </w:num>
  <w:num w:numId="35" w16cid:durableId="786051145">
    <w:abstractNumId w:val="27"/>
  </w:num>
  <w:num w:numId="36" w16cid:durableId="701174353">
    <w:abstractNumId w:val="3"/>
  </w:num>
  <w:num w:numId="37" w16cid:durableId="102389040">
    <w:abstractNumId w:val="21"/>
  </w:num>
  <w:num w:numId="38" w16cid:durableId="312101846">
    <w:abstractNumId w:val="47"/>
  </w:num>
  <w:num w:numId="39" w16cid:durableId="925066606">
    <w:abstractNumId w:val="8"/>
  </w:num>
  <w:num w:numId="40" w16cid:durableId="1861581520">
    <w:abstractNumId w:val="5"/>
  </w:num>
  <w:num w:numId="41" w16cid:durableId="1942757786">
    <w:abstractNumId w:val="40"/>
  </w:num>
  <w:num w:numId="42" w16cid:durableId="1914587986">
    <w:abstractNumId w:val="48"/>
  </w:num>
  <w:num w:numId="43" w16cid:durableId="2073849977">
    <w:abstractNumId w:val="35"/>
  </w:num>
  <w:num w:numId="44" w16cid:durableId="1367177709">
    <w:abstractNumId w:val="2"/>
  </w:num>
  <w:num w:numId="45" w16cid:durableId="1121729967">
    <w:abstractNumId w:val="15"/>
  </w:num>
  <w:num w:numId="46" w16cid:durableId="1341591366">
    <w:abstractNumId w:val="29"/>
  </w:num>
  <w:num w:numId="47" w16cid:durableId="333185153">
    <w:abstractNumId w:val="28"/>
  </w:num>
  <w:num w:numId="48" w16cid:durableId="844980750">
    <w:abstractNumId w:val="4"/>
  </w:num>
  <w:num w:numId="49" w16cid:durableId="20645783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1A1"/>
    <w:rsid w:val="00005D8E"/>
    <w:rsid w:val="000233D9"/>
    <w:rsid w:val="00033B3F"/>
    <w:rsid w:val="0004029A"/>
    <w:rsid w:val="00041933"/>
    <w:rsid w:val="000474E3"/>
    <w:rsid w:val="00053742"/>
    <w:rsid w:val="000565B9"/>
    <w:rsid w:val="0006034E"/>
    <w:rsid w:val="00062263"/>
    <w:rsid w:val="00063783"/>
    <w:rsid w:val="00064D8D"/>
    <w:rsid w:val="00073765"/>
    <w:rsid w:val="00074CE8"/>
    <w:rsid w:val="00076C3B"/>
    <w:rsid w:val="0008237C"/>
    <w:rsid w:val="00085B08"/>
    <w:rsid w:val="000929A6"/>
    <w:rsid w:val="000933E1"/>
    <w:rsid w:val="00095FA1"/>
    <w:rsid w:val="000A0ADD"/>
    <w:rsid w:val="000A1A00"/>
    <w:rsid w:val="000A6167"/>
    <w:rsid w:val="000B5015"/>
    <w:rsid w:val="000B788F"/>
    <w:rsid w:val="000B7C66"/>
    <w:rsid w:val="000C1A8E"/>
    <w:rsid w:val="000D4E36"/>
    <w:rsid w:val="000E3657"/>
    <w:rsid w:val="000E5799"/>
    <w:rsid w:val="000E62FE"/>
    <w:rsid w:val="000E780E"/>
    <w:rsid w:val="000E7BD0"/>
    <w:rsid w:val="000F56BD"/>
    <w:rsid w:val="00100124"/>
    <w:rsid w:val="00100890"/>
    <w:rsid w:val="00105B8A"/>
    <w:rsid w:val="001161E4"/>
    <w:rsid w:val="00122A1B"/>
    <w:rsid w:val="00123974"/>
    <w:rsid w:val="00125A26"/>
    <w:rsid w:val="00134523"/>
    <w:rsid w:val="00143AEF"/>
    <w:rsid w:val="00143D29"/>
    <w:rsid w:val="001472A8"/>
    <w:rsid w:val="0015376F"/>
    <w:rsid w:val="00160E61"/>
    <w:rsid w:val="001614E0"/>
    <w:rsid w:val="00171BD8"/>
    <w:rsid w:val="0017653E"/>
    <w:rsid w:val="0018078C"/>
    <w:rsid w:val="00182B01"/>
    <w:rsid w:val="00183E52"/>
    <w:rsid w:val="001840D2"/>
    <w:rsid w:val="001966D7"/>
    <w:rsid w:val="001A1035"/>
    <w:rsid w:val="001A345A"/>
    <w:rsid w:val="001A7F46"/>
    <w:rsid w:val="001B7477"/>
    <w:rsid w:val="001C4D2E"/>
    <w:rsid w:val="001C7E35"/>
    <w:rsid w:val="001D0CDF"/>
    <w:rsid w:val="001D3ADD"/>
    <w:rsid w:val="001D65D1"/>
    <w:rsid w:val="001E3C06"/>
    <w:rsid w:val="001E483D"/>
    <w:rsid w:val="001E6F58"/>
    <w:rsid w:val="001F0037"/>
    <w:rsid w:val="001F0BE9"/>
    <w:rsid w:val="001F4749"/>
    <w:rsid w:val="001F4A03"/>
    <w:rsid w:val="00202D79"/>
    <w:rsid w:val="00205D2F"/>
    <w:rsid w:val="00215E8F"/>
    <w:rsid w:val="00216439"/>
    <w:rsid w:val="00217F1A"/>
    <w:rsid w:val="00221A93"/>
    <w:rsid w:val="0022312A"/>
    <w:rsid w:val="00223200"/>
    <w:rsid w:val="0022395A"/>
    <w:rsid w:val="002322BB"/>
    <w:rsid w:val="00237270"/>
    <w:rsid w:val="00251254"/>
    <w:rsid w:val="002548D1"/>
    <w:rsid w:val="0027283B"/>
    <w:rsid w:val="00277052"/>
    <w:rsid w:val="0028019B"/>
    <w:rsid w:val="00282E73"/>
    <w:rsid w:val="00283CAB"/>
    <w:rsid w:val="00284B3D"/>
    <w:rsid w:val="0028525A"/>
    <w:rsid w:val="002877E2"/>
    <w:rsid w:val="002917FC"/>
    <w:rsid w:val="00292748"/>
    <w:rsid w:val="002A3FEF"/>
    <w:rsid w:val="002B224A"/>
    <w:rsid w:val="002B49D8"/>
    <w:rsid w:val="002B54A6"/>
    <w:rsid w:val="002D04A3"/>
    <w:rsid w:val="002D0D61"/>
    <w:rsid w:val="002D14C4"/>
    <w:rsid w:val="002E737C"/>
    <w:rsid w:val="002F06BF"/>
    <w:rsid w:val="002F1C0E"/>
    <w:rsid w:val="002F2585"/>
    <w:rsid w:val="002F2797"/>
    <w:rsid w:val="002F3EE9"/>
    <w:rsid w:val="00307F76"/>
    <w:rsid w:val="003136C4"/>
    <w:rsid w:val="00321FBB"/>
    <w:rsid w:val="003225A2"/>
    <w:rsid w:val="00324D77"/>
    <w:rsid w:val="00330832"/>
    <w:rsid w:val="003313EA"/>
    <w:rsid w:val="00333FAA"/>
    <w:rsid w:val="003355D7"/>
    <w:rsid w:val="00342904"/>
    <w:rsid w:val="00351682"/>
    <w:rsid w:val="0036201C"/>
    <w:rsid w:val="003638B6"/>
    <w:rsid w:val="00376768"/>
    <w:rsid w:val="00377569"/>
    <w:rsid w:val="00377771"/>
    <w:rsid w:val="00380F87"/>
    <w:rsid w:val="00381807"/>
    <w:rsid w:val="00385AA4"/>
    <w:rsid w:val="00386482"/>
    <w:rsid w:val="00396019"/>
    <w:rsid w:val="003B15FB"/>
    <w:rsid w:val="003C270D"/>
    <w:rsid w:val="003D56BD"/>
    <w:rsid w:val="003E6E4D"/>
    <w:rsid w:val="003F200F"/>
    <w:rsid w:val="003F3AFD"/>
    <w:rsid w:val="00404627"/>
    <w:rsid w:val="0040520F"/>
    <w:rsid w:val="0040607D"/>
    <w:rsid w:val="004070F2"/>
    <w:rsid w:val="004076C8"/>
    <w:rsid w:val="00407705"/>
    <w:rsid w:val="00411BD8"/>
    <w:rsid w:val="004207E3"/>
    <w:rsid w:val="00421A4C"/>
    <w:rsid w:val="004238C2"/>
    <w:rsid w:val="00435B5D"/>
    <w:rsid w:val="004363F7"/>
    <w:rsid w:val="00436F6B"/>
    <w:rsid w:val="00437E57"/>
    <w:rsid w:val="004420D7"/>
    <w:rsid w:val="00443013"/>
    <w:rsid w:val="0044525C"/>
    <w:rsid w:val="00452047"/>
    <w:rsid w:val="00454E50"/>
    <w:rsid w:val="004550E6"/>
    <w:rsid w:val="004553F1"/>
    <w:rsid w:val="00467DC0"/>
    <w:rsid w:val="00471C1F"/>
    <w:rsid w:val="00475950"/>
    <w:rsid w:val="004809FA"/>
    <w:rsid w:val="00481A46"/>
    <w:rsid w:val="00481F4D"/>
    <w:rsid w:val="00485AEB"/>
    <w:rsid w:val="00493932"/>
    <w:rsid w:val="004A0218"/>
    <w:rsid w:val="004A1919"/>
    <w:rsid w:val="004A4BC1"/>
    <w:rsid w:val="004A5200"/>
    <w:rsid w:val="004A7658"/>
    <w:rsid w:val="004B0CA1"/>
    <w:rsid w:val="004C2D09"/>
    <w:rsid w:val="004C4A75"/>
    <w:rsid w:val="004C7319"/>
    <w:rsid w:val="004D153A"/>
    <w:rsid w:val="004D2DA0"/>
    <w:rsid w:val="004E14A4"/>
    <w:rsid w:val="004F54BD"/>
    <w:rsid w:val="004F56C5"/>
    <w:rsid w:val="004F621A"/>
    <w:rsid w:val="00506185"/>
    <w:rsid w:val="005062CC"/>
    <w:rsid w:val="00506A44"/>
    <w:rsid w:val="005122FF"/>
    <w:rsid w:val="005216AF"/>
    <w:rsid w:val="00530DEE"/>
    <w:rsid w:val="0053521F"/>
    <w:rsid w:val="005354D0"/>
    <w:rsid w:val="0054172C"/>
    <w:rsid w:val="00544EBE"/>
    <w:rsid w:val="0054590F"/>
    <w:rsid w:val="005459EC"/>
    <w:rsid w:val="005534BD"/>
    <w:rsid w:val="0056082B"/>
    <w:rsid w:val="00563EA4"/>
    <w:rsid w:val="00566C38"/>
    <w:rsid w:val="00570C5A"/>
    <w:rsid w:val="005718B5"/>
    <w:rsid w:val="00573CE7"/>
    <w:rsid w:val="00573E67"/>
    <w:rsid w:val="00574F87"/>
    <w:rsid w:val="00577ED1"/>
    <w:rsid w:val="005808FB"/>
    <w:rsid w:val="005811F8"/>
    <w:rsid w:val="00582605"/>
    <w:rsid w:val="00585033"/>
    <w:rsid w:val="00591016"/>
    <w:rsid w:val="00597535"/>
    <w:rsid w:val="005A0157"/>
    <w:rsid w:val="005A50EA"/>
    <w:rsid w:val="005A5945"/>
    <w:rsid w:val="005A7DDF"/>
    <w:rsid w:val="005B0482"/>
    <w:rsid w:val="005B3F67"/>
    <w:rsid w:val="005B4183"/>
    <w:rsid w:val="005D10D0"/>
    <w:rsid w:val="005D548F"/>
    <w:rsid w:val="005D6EF5"/>
    <w:rsid w:val="005E1FAC"/>
    <w:rsid w:val="005E200A"/>
    <w:rsid w:val="005E3A10"/>
    <w:rsid w:val="005E7509"/>
    <w:rsid w:val="00601D7F"/>
    <w:rsid w:val="00605A4C"/>
    <w:rsid w:val="00611AA2"/>
    <w:rsid w:val="00617B8C"/>
    <w:rsid w:val="00625151"/>
    <w:rsid w:val="00634981"/>
    <w:rsid w:val="006378AC"/>
    <w:rsid w:val="006413C4"/>
    <w:rsid w:val="0064209D"/>
    <w:rsid w:val="00644A03"/>
    <w:rsid w:val="00645B8B"/>
    <w:rsid w:val="00652792"/>
    <w:rsid w:val="00652BA5"/>
    <w:rsid w:val="0065471E"/>
    <w:rsid w:val="00655044"/>
    <w:rsid w:val="006613AC"/>
    <w:rsid w:val="006618CD"/>
    <w:rsid w:val="00665253"/>
    <w:rsid w:val="00666922"/>
    <w:rsid w:val="00670277"/>
    <w:rsid w:val="00670F17"/>
    <w:rsid w:val="006710C7"/>
    <w:rsid w:val="006759AB"/>
    <w:rsid w:val="00677904"/>
    <w:rsid w:val="00684743"/>
    <w:rsid w:val="0069564F"/>
    <w:rsid w:val="00696A83"/>
    <w:rsid w:val="006A34A6"/>
    <w:rsid w:val="006A44D0"/>
    <w:rsid w:val="006A7572"/>
    <w:rsid w:val="006C1A35"/>
    <w:rsid w:val="006C580A"/>
    <w:rsid w:val="006C6E5D"/>
    <w:rsid w:val="006D1E69"/>
    <w:rsid w:val="006D3223"/>
    <w:rsid w:val="006D479A"/>
    <w:rsid w:val="006E0B34"/>
    <w:rsid w:val="006F057C"/>
    <w:rsid w:val="006F12F5"/>
    <w:rsid w:val="006F22DA"/>
    <w:rsid w:val="006F2EB3"/>
    <w:rsid w:val="00702262"/>
    <w:rsid w:val="007041A0"/>
    <w:rsid w:val="007112D1"/>
    <w:rsid w:val="007116B1"/>
    <w:rsid w:val="007129F4"/>
    <w:rsid w:val="00714BEE"/>
    <w:rsid w:val="00721215"/>
    <w:rsid w:val="00721280"/>
    <w:rsid w:val="007370EA"/>
    <w:rsid w:val="00737B29"/>
    <w:rsid w:val="007400CF"/>
    <w:rsid w:val="00762372"/>
    <w:rsid w:val="0077003D"/>
    <w:rsid w:val="00774E20"/>
    <w:rsid w:val="00783207"/>
    <w:rsid w:val="00797F97"/>
    <w:rsid w:val="007A1888"/>
    <w:rsid w:val="007B22AC"/>
    <w:rsid w:val="007B23FC"/>
    <w:rsid w:val="007B5D32"/>
    <w:rsid w:val="007C316C"/>
    <w:rsid w:val="007D0C1D"/>
    <w:rsid w:val="007D2000"/>
    <w:rsid w:val="007D4DBF"/>
    <w:rsid w:val="007E2994"/>
    <w:rsid w:val="007E4732"/>
    <w:rsid w:val="007E4BA4"/>
    <w:rsid w:val="007E7AB7"/>
    <w:rsid w:val="007E7C70"/>
    <w:rsid w:val="007F004E"/>
    <w:rsid w:val="007F07D7"/>
    <w:rsid w:val="007F335A"/>
    <w:rsid w:val="007F75FC"/>
    <w:rsid w:val="00803104"/>
    <w:rsid w:val="00807A6E"/>
    <w:rsid w:val="008101E6"/>
    <w:rsid w:val="00812901"/>
    <w:rsid w:val="00814A57"/>
    <w:rsid w:val="0081627F"/>
    <w:rsid w:val="0082010A"/>
    <w:rsid w:val="00826B9A"/>
    <w:rsid w:val="008370E3"/>
    <w:rsid w:val="00842757"/>
    <w:rsid w:val="00843CC2"/>
    <w:rsid w:val="0085266D"/>
    <w:rsid w:val="0085420D"/>
    <w:rsid w:val="00854DA2"/>
    <w:rsid w:val="0086525B"/>
    <w:rsid w:val="008663C0"/>
    <w:rsid w:val="00870D80"/>
    <w:rsid w:val="00872949"/>
    <w:rsid w:val="008749D4"/>
    <w:rsid w:val="00887673"/>
    <w:rsid w:val="008936F1"/>
    <w:rsid w:val="008A2ADB"/>
    <w:rsid w:val="008A5AA0"/>
    <w:rsid w:val="008B11D1"/>
    <w:rsid w:val="008C01B7"/>
    <w:rsid w:val="008D08E8"/>
    <w:rsid w:val="008D3E14"/>
    <w:rsid w:val="008E1362"/>
    <w:rsid w:val="008E16AF"/>
    <w:rsid w:val="008E224D"/>
    <w:rsid w:val="008E275B"/>
    <w:rsid w:val="008F123B"/>
    <w:rsid w:val="008F7F23"/>
    <w:rsid w:val="009048B2"/>
    <w:rsid w:val="009135A7"/>
    <w:rsid w:val="00916FDB"/>
    <w:rsid w:val="00917F70"/>
    <w:rsid w:val="00922AE5"/>
    <w:rsid w:val="0092530B"/>
    <w:rsid w:val="00926632"/>
    <w:rsid w:val="009341A6"/>
    <w:rsid w:val="0094208C"/>
    <w:rsid w:val="00942662"/>
    <w:rsid w:val="00942E37"/>
    <w:rsid w:val="00942F17"/>
    <w:rsid w:val="00943236"/>
    <w:rsid w:val="00951728"/>
    <w:rsid w:val="00952CEF"/>
    <w:rsid w:val="00954A44"/>
    <w:rsid w:val="00955421"/>
    <w:rsid w:val="00960B57"/>
    <w:rsid w:val="00972650"/>
    <w:rsid w:val="0097757A"/>
    <w:rsid w:val="00990E9C"/>
    <w:rsid w:val="00994542"/>
    <w:rsid w:val="00994908"/>
    <w:rsid w:val="009A1146"/>
    <w:rsid w:val="009A2906"/>
    <w:rsid w:val="009B160B"/>
    <w:rsid w:val="009B5CB7"/>
    <w:rsid w:val="009B64C7"/>
    <w:rsid w:val="009B64EF"/>
    <w:rsid w:val="009C04C5"/>
    <w:rsid w:val="009C1844"/>
    <w:rsid w:val="009C237B"/>
    <w:rsid w:val="009C4DD1"/>
    <w:rsid w:val="009C5971"/>
    <w:rsid w:val="009D319A"/>
    <w:rsid w:val="009E5A93"/>
    <w:rsid w:val="009F1E0C"/>
    <w:rsid w:val="009F3154"/>
    <w:rsid w:val="009F34E9"/>
    <w:rsid w:val="00A008C1"/>
    <w:rsid w:val="00A1211C"/>
    <w:rsid w:val="00A20113"/>
    <w:rsid w:val="00A20D78"/>
    <w:rsid w:val="00A2215F"/>
    <w:rsid w:val="00A22839"/>
    <w:rsid w:val="00A23E19"/>
    <w:rsid w:val="00A27B52"/>
    <w:rsid w:val="00A27E96"/>
    <w:rsid w:val="00A3058B"/>
    <w:rsid w:val="00A33185"/>
    <w:rsid w:val="00A45B84"/>
    <w:rsid w:val="00A5371F"/>
    <w:rsid w:val="00A53B04"/>
    <w:rsid w:val="00A56FB3"/>
    <w:rsid w:val="00A57E5A"/>
    <w:rsid w:val="00A61553"/>
    <w:rsid w:val="00A63E30"/>
    <w:rsid w:val="00A661F4"/>
    <w:rsid w:val="00A66326"/>
    <w:rsid w:val="00A7271A"/>
    <w:rsid w:val="00A740E3"/>
    <w:rsid w:val="00A74D79"/>
    <w:rsid w:val="00A75C1B"/>
    <w:rsid w:val="00A76EFF"/>
    <w:rsid w:val="00A8006D"/>
    <w:rsid w:val="00A81E19"/>
    <w:rsid w:val="00A85EF4"/>
    <w:rsid w:val="00A85F27"/>
    <w:rsid w:val="00A93873"/>
    <w:rsid w:val="00A95267"/>
    <w:rsid w:val="00A9723B"/>
    <w:rsid w:val="00AA7141"/>
    <w:rsid w:val="00AB3C74"/>
    <w:rsid w:val="00AB795F"/>
    <w:rsid w:val="00AC6312"/>
    <w:rsid w:val="00AD1E77"/>
    <w:rsid w:val="00AD24F3"/>
    <w:rsid w:val="00AD262A"/>
    <w:rsid w:val="00AD6D80"/>
    <w:rsid w:val="00AE18B9"/>
    <w:rsid w:val="00AF2129"/>
    <w:rsid w:val="00AF31F7"/>
    <w:rsid w:val="00AF55B1"/>
    <w:rsid w:val="00B008A4"/>
    <w:rsid w:val="00B0217D"/>
    <w:rsid w:val="00B03F17"/>
    <w:rsid w:val="00B1160D"/>
    <w:rsid w:val="00B139FB"/>
    <w:rsid w:val="00B203C4"/>
    <w:rsid w:val="00B247BA"/>
    <w:rsid w:val="00B30BCB"/>
    <w:rsid w:val="00B311DD"/>
    <w:rsid w:val="00B31492"/>
    <w:rsid w:val="00B31712"/>
    <w:rsid w:val="00B410CA"/>
    <w:rsid w:val="00B444E6"/>
    <w:rsid w:val="00B52011"/>
    <w:rsid w:val="00B53EFF"/>
    <w:rsid w:val="00B54AFA"/>
    <w:rsid w:val="00B671A4"/>
    <w:rsid w:val="00B76C26"/>
    <w:rsid w:val="00B804E8"/>
    <w:rsid w:val="00B8325E"/>
    <w:rsid w:val="00B84B98"/>
    <w:rsid w:val="00B87E40"/>
    <w:rsid w:val="00B9081D"/>
    <w:rsid w:val="00B929E7"/>
    <w:rsid w:val="00BA157C"/>
    <w:rsid w:val="00BA31FF"/>
    <w:rsid w:val="00BA7BC7"/>
    <w:rsid w:val="00BB2C2D"/>
    <w:rsid w:val="00BB5E65"/>
    <w:rsid w:val="00BC19A9"/>
    <w:rsid w:val="00BC206C"/>
    <w:rsid w:val="00BC431A"/>
    <w:rsid w:val="00BD1396"/>
    <w:rsid w:val="00BE6936"/>
    <w:rsid w:val="00BF5AFA"/>
    <w:rsid w:val="00C006B2"/>
    <w:rsid w:val="00C01A35"/>
    <w:rsid w:val="00C03772"/>
    <w:rsid w:val="00C04EDA"/>
    <w:rsid w:val="00C079D5"/>
    <w:rsid w:val="00C119A2"/>
    <w:rsid w:val="00C119F4"/>
    <w:rsid w:val="00C1240D"/>
    <w:rsid w:val="00C137F5"/>
    <w:rsid w:val="00C224B2"/>
    <w:rsid w:val="00C3072F"/>
    <w:rsid w:val="00C323C0"/>
    <w:rsid w:val="00C342BB"/>
    <w:rsid w:val="00C357FD"/>
    <w:rsid w:val="00C35867"/>
    <w:rsid w:val="00C368C8"/>
    <w:rsid w:val="00C42838"/>
    <w:rsid w:val="00C53F1A"/>
    <w:rsid w:val="00C54798"/>
    <w:rsid w:val="00C5722C"/>
    <w:rsid w:val="00C57267"/>
    <w:rsid w:val="00C579F8"/>
    <w:rsid w:val="00C60349"/>
    <w:rsid w:val="00C616FF"/>
    <w:rsid w:val="00C62B63"/>
    <w:rsid w:val="00C65A22"/>
    <w:rsid w:val="00C72B5B"/>
    <w:rsid w:val="00C8409B"/>
    <w:rsid w:val="00C869F3"/>
    <w:rsid w:val="00C87E6D"/>
    <w:rsid w:val="00CA06E8"/>
    <w:rsid w:val="00CA32C5"/>
    <w:rsid w:val="00CB1F38"/>
    <w:rsid w:val="00CB3CC6"/>
    <w:rsid w:val="00CC0C34"/>
    <w:rsid w:val="00CC1837"/>
    <w:rsid w:val="00CC18AC"/>
    <w:rsid w:val="00CC2EAC"/>
    <w:rsid w:val="00CD03EA"/>
    <w:rsid w:val="00CD7D5D"/>
    <w:rsid w:val="00CE1966"/>
    <w:rsid w:val="00CE34E9"/>
    <w:rsid w:val="00CE5027"/>
    <w:rsid w:val="00CE567C"/>
    <w:rsid w:val="00CE7C25"/>
    <w:rsid w:val="00CF0621"/>
    <w:rsid w:val="00CF0FC4"/>
    <w:rsid w:val="00CF2FDE"/>
    <w:rsid w:val="00CF5B60"/>
    <w:rsid w:val="00CF6588"/>
    <w:rsid w:val="00CF6932"/>
    <w:rsid w:val="00D01FE3"/>
    <w:rsid w:val="00D0381E"/>
    <w:rsid w:val="00D06CA3"/>
    <w:rsid w:val="00D07F46"/>
    <w:rsid w:val="00D1347E"/>
    <w:rsid w:val="00D170E5"/>
    <w:rsid w:val="00D222D0"/>
    <w:rsid w:val="00D257DD"/>
    <w:rsid w:val="00D27966"/>
    <w:rsid w:val="00D321ED"/>
    <w:rsid w:val="00D3276F"/>
    <w:rsid w:val="00D37F2F"/>
    <w:rsid w:val="00D415B9"/>
    <w:rsid w:val="00D4438D"/>
    <w:rsid w:val="00D50B3B"/>
    <w:rsid w:val="00D50C4A"/>
    <w:rsid w:val="00D528E8"/>
    <w:rsid w:val="00D5353F"/>
    <w:rsid w:val="00D62DCC"/>
    <w:rsid w:val="00D771D0"/>
    <w:rsid w:val="00D835CF"/>
    <w:rsid w:val="00D84100"/>
    <w:rsid w:val="00D93021"/>
    <w:rsid w:val="00DA176F"/>
    <w:rsid w:val="00DA26FB"/>
    <w:rsid w:val="00DA335D"/>
    <w:rsid w:val="00DA36BE"/>
    <w:rsid w:val="00DA50EC"/>
    <w:rsid w:val="00DB6C3D"/>
    <w:rsid w:val="00DC3CEB"/>
    <w:rsid w:val="00DC40EC"/>
    <w:rsid w:val="00DC5ACF"/>
    <w:rsid w:val="00DC698B"/>
    <w:rsid w:val="00DD3573"/>
    <w:rsid w:val="00DD7468"/>
    <w:rsid w:val="00DE0844"/>
    <w:rsid w:val="00DE100D"/>
    <w:rsid w:val="00DE25E9"/>
    <w:rsid w:val="00DE49BF"/>
    <w:rsid w:val="00DE5E80"/>
    <w:rsid w:val="00DE5F67"/>
    <w:rsid w:val="00DE6294"/>
    <w:rsid w:val="00DE71D3"/>
    <w:rsid w:val="00DE72CF"/>
    <w:rsid w:val="00DF08A0"/>
    <w:rsid w:val="00E0254A"/>
    <w:rsid w:val="00E02A77"/>
    <w:rsid w:val="00E13BEF"/>
    <w:rsid w:val="00E21498"/>
    <w:rsid w:val="00E2423B"/>
    <w:rsid w:val="00E46FE9"/>
    <w:rsid w:val="00E53BBA"/>
    <w:rsid w:val="00E562C2"/>
    <w:rsid w:val="00E70760"/>
    <w:rsid w:val="00E7765A"/>
    <w:rsid w:val="00E80E63"/>
    <w:rsid w:val="00E80FBB"/>
    <w:rsid w:val="00E81E8A"/>
    <w:rsid w:val="00E82226"/>
    <w:rsid w:val="00E832FD"/>
    <w:rsid w:val="00E8644A"/>
    <w:rsid w:val="00E90F4F"/>
    <w:rsid w:val="00E9253C"/>
    <w:rsid w:val="00E939E3"/>
    <w:rsid w:val="00EA61FA"/>
    <w:rsid w:val="00EB3CF0"/>
    <w:rsid w:val="00EB45B5"/>
    <w:rsid w:val="00EB5E57"/>
    <w:rsid w:val="00EB61DB"/>
    <w:rsid w:val="00EC0913"/>
    <w:rsid w:val="00EC0F28"/>
    <w:rsid w:val="00EC35C0"/>
    <w:rsid w:val="00ED1AD0"/>
    <w:rsid w:val="00ED4AFD"/>
    <w:rsid w:val="00ED50A1"/>
    <w:rsid w:val="00ED58CF"/>
    <w:rsid w:val="00ED6776"/>
    <w:rsid w:val="00EE4FBE"/>
    <w:rsid w:val="00F038A1"/>
    <w:rsid w:val="00F06E4E"/>
    <w:rsid w:val="00F238E0"/>
    <w:rsid w:val="00F30BF7"/>
    <w:rsid w:val="00F34FBB"/>
    <w:rsid w:val="00F363BF"/>
    <w:rsid w:val="00F42A1C"/>
    <w:rsid w:val="00F42E1E"/>
    <w:rsid w:val="00F4553B"/>
    <w:rsid w:val="00F51E01"/>
    <w:rsid w:val="00F51E77"/>
    <w:rsid w:val="00F5649A"/>
    <w:rsid w:val="00F57D1C"/>
    <w:rsid w:val="00F614CC"/>
    <w:rsid w:val="00F67DC5"/>
    <w:rsid w:val="00F752AE"/>
    <w:rsid w:val="00F82342"/>
    <w:rsid w:val="00F877DB"/>
    <w:rsid w:val="00F91AE4"/>
    <w:rsid w:val="00F93C8B"/>
    <w:rsid w:val="00F94904"/>
    <w:rsid w:val="00F959DD"/>
    <w:rsid w:val="00F960D5"/>
    <w:rsid w:val="00FB0C68"/>
    <w:rsid w:val="00FB0F18"/>
    <w:rsid w:val="00FB1231"/>
    <w:rsid w:val="00FB6301"/>
    <w:rsid w:val="00FB7975"/>
    <w:rsid w:val="00FC1C5C"/>
    <w:rsid w:val="00FC266E"/>
    <w:rsid w:val="00FC2ABC"/>
    <w:rsid w:val="00FC2F5D"/>
    <w:rsid w:val="00FC5D05"/>
    <w:rsid w:val="00FC731A"/>
    <w:rsid w:val="00FD3D95"/>
    <w:rsid w:val="00FE17E2"/>
    <w:rsid w:val="00FF6E4B"/>
    <w:rsid w:val="014E8078"/>
    <w:rsid w:val="0523E046"/>
    <w:rsid w:val="0549899E"/>
    <w:rsid w:val="076D9F9E"/>
    <w:rsid w:val="0B29514D"/>
    <w:rsid w:val="0EBCCC9E"/>
    <w:rsid w:val="17F41994"/>
    <w:rsid w:val="1CB6C805"/>
    <w:rsid w:val="224DF7B4"/>
    <w:rsid w:val="23B6646C"/>
    <w:rsid w:val="2697ADCA"/>
    <w:rsid w:val="2896C77B"/>
    <w:rsid w:val="293E1B41"/>
    <w:rsid w:val="2A3297DC"/>
    <w:rsid w:val="2D363C95"/>
    <w:rsid w:val="3286B8B4"/>
    <w:rsid w:val="32959AF1"/>
    <w:rsid w:val="3429854C"/>
    <w:rsid w:val="353475EB"/>
    <w:rsid w:val="3C90E5FF"/>
    <w:rsid w:val="45DA9482"/>
    <w:rsid w:val="4800DDEE"/>
    <w:rsid w:val="49B2ED9F"/>
    <w:rsid w:val="49CFD7D8"/>
    <w:rsid w:val="52A799D8"/>
    <w:rsid w:val="55DAD3D7"/>
    <w:rsid w:val="576EF44A"/>
    <w:rsid w:val="5829CFC1"/>
    <w:rsid w:val="5908CE47"/>
    <w:rsid w:val="594EADC3"/>
    <w:rsid w:val="5C5E063E"/>
    <w:rsid w:val="5F176A22"/>
    <w:rsid w:val="630BC6FA"/>
    <w:rsid w:val="6FDAFDC0"/>
    <w:rsid w:val="7277A10B"/>
    <w:rsid w:val="7A14AA3C"/>
    <w:rsid w:val="7A84454C"/>
    <w:rsid w:val="7BBB64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AB352EBD-E30E-4343-AAA7-20AADE76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702262"/>
    <w:rPr>
      <w:sz w:val="16"/>
      <w:szCs w:val="16"/>
    </w:rPr>
  </w:style>
  <w:style w:type="paragraph" w:styleId="CommentText">
    <w:name w:val="annotation text"/>
    <w:basedOn w:val="Normal"/>
    <w:link w:val="CommentTextChar"/>
    <w:unhideWhenUsed/>
    <w:rsid w:val="00702262"/>
    <w:rPr>
      <w:sz w:val="20"/>
    </w:rPr>
  </w:style>
  <w:style w:type="character" w:customStyle="1" w:styleId="CommentTextChar">
    <w:name w:val="Comment Text Char"/>
    <w:basedOn w:val="DefaultParagraphFont"/>
    <w:link w:val="CommentText"/>
    <w:rsid w:val="00702262"/>
    <w:rPr>
      <w:rFonts w:ascii="Arial" w:hAnsi="Arial"/>
      <w:lang w:eastAsia="en-US"/>
    </w:rPr>
  </w:style>
  <w:style w:type="paragraph" w:styleId="CommentSubject">
    <w:name w:val="annotation subject"/>
    <w:basedOn w:val="CommentText"/>
    <w:next w:val="CommentText"/>
    <w:link w:val="CommentSubjectChar"/>
    <w:semiHidden/>
    <w:unhideWhenUsed/>
    <w:rsid w:val="00702262"/>
    <w:rPr>
      <w:b/>
      <w:bCs/>
    </w:rPr>
  </w:style>
  <w:style w:type="character" w:customStyle="1" w:styleId="CommentSubjectChar">
    <w:name w:val="Comment Subject Char"/>
    <w:basedOn w:val="CommentTextChar"/>
    <w:link w:val="CommentSubject"/>
    <w:semiHidden/>
    <w:rsid w:val="00702262"/>
    <w:rPr>
      <w:rFonts w:ascii="Arial" w:hAnsi="Arial"/>
      <w:b/>
      <w:bCs/>
      <w:lang w:eastAsia="en-US"/>
    </w:rPr>
  </w:style>
  <w:style w:type="character" w:styleId="Mention">
    <w:name w:val="Mention"/>
    <w:basedOn w:val="DefaultParagraphFont"/>
    <w:uiPriority w:val="99"/>
    <w:unhideWhenUsed/>
    <w:rsid w:val="007022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9841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n.Goward@harrow.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d7bf0660-0b03-4216-b364-8c8e0fe76916"/>
    <ds:schemaRef ds:uri="http://schemas.microsoft.com/office/infopath/2007/PartnerControls"/>
    <ds:schemaRef ds:uri="48fdd5af-7127-4349-9ef8-8ec3aedfe79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2346</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354</cp:revision>
  <cp:lastPrinted>2014-11-01T13:34:00Z</cp:lastPrinted>
  <dcterms:created xsi:type="dcterms:W3CDTF">2024-01-25T08:05:00Z</dcterms:created>
  <dcterms:modified xsi:type="dcterms:W3CDTF">2024-02-06T10:16:00Z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